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94AE">
      <w:pPr>
        <w:pStyle w:val="2"/>
        <w:jc w:val="center"/>
        <w:rPr>
          <w:rFonts w:ascii="宋体" w:hAnsi="宋体" w:cs="宋体"/>
        </w:rPr>
      </w:pPr>
      <w:bookmarkStart w:id="0" w:name="_GoBack"/>
      <w:bookmarkEnd w:id="0"/>
      <w:r>
        <w:rPr>
          <w:rFonts w:hint="eastAsia" w:ascii="宋体" w:hAnsi="宋体" w:cs="宋体"/>
          <w:bCs w:val="0"/>
          <w:sz w:val="32"/>
          <w:szCs w:val="32"/>
        </w:rPr>
        <w:t>第</w:t>
      </w:r>
      <w:r>
        <w:rPr>
          <w:rFonts w:hint="eastAsia" w:ascii="宋体" w:hAnsi="宋体" w:cs="宋体"/>
          <w:bCs w:val="0"/>
          <w:sz w:val="32"/>
          <w:szCs w:val="32"/>
          <w:lang w:val="en-US" w:eastAsia="zh-CN"/>
        </w:rPr>
        <w:t>一</w:t>
      </w:r>
      <w:r>
        <w:rPr>
          <w:rFonts w:hint="eastAsia" w:ascii="宋体" w:hAnsi="宋体" w:cs="宋体"/>
          <w:bCs w:val="0"/>
          <w:sz w:val="32"/>
          <w:szCs w:val="32"/>
        </w:rPr>
        <w:t>章 采购需求</w:t>
      </w:r>
    </w:p>
    <w:p w14:paraId="799B25D0">
      <w:pPr>
        <w:spacing w:line="420" w:lineRule="exact"/>
        <w:jc w:val="left"/>
        <w:rPr>
          <w:rFonts w:ascii="宋体" w:hAnsi="宋体" w:cs="宋体"/>
          <w:szCs w:val="21"/>
        </w:rPr>
      </w:pPr>
      <w:r>
        <w:rPr>
          <w:rFonts w:hint="eastAsia" w:ascii="宋体" w:hAnsi="宋体" w:cs="宋体"/>
          <w:szCs w:val="21"/>
        </w:rPr>
        <w:t>说明：</w:t>
      </w:r>
    </w:p>
    <w:p w14:paraId="2F6FC92E">
      <w:pPr>
        <w:spacing w:line="420" w:lineRule="exact"/>
        <w:ind w:firstLine="420" w:firstLineChars="200"/>
        <w:jc w:val="left"/>
        <w:rPr>
          <w:rFonts w:ascii="宋体" w:hAnsi="宋体" w:cs="宋体"/>
          <w:szCs w:val="21"/>
        </w:rPr>
      </w:pPr>
      <w:r>
        <w:rPr>
          <w:rFonts w:hint="eastAsia" w:ascii="宋体" w:hAnsi="宋体" w:cs="宋体"/>
        </w:rPr>
        <w:t>1. 为落实政府采购政策需满足的要求：</w:t>
      </w:r>
    </w:p>
    <w:p w14:paraId="354BA0EE">
      <w:pPr>
        <w:spacing w:line="420" w:lineRule="exact"/>
        <w:ind w:firstLine="420" w:firstLineChars="200"/>
        <w:jc w:val="left"/>
        <w:rPr>
          <w:rFonts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78CA43C7">
      <w:pPr>
        <w:tabs>
          <w:tab w:val="left" w:pos="180"/>
          <w:tab w:val="left" w:pos="1620"/>
        </w:tabs>
        <w:spacing w:line="420" w:lineRule="exact"/>
        <w:ind w:firstLine="420" w:firstLineChars="200"/>
        <w:rPr>
          <w:rFonts w:ascii="宋体" w:hAnsi="宋体" w:cs="宋体"/>
          <w:b/>
          <w:bCs/>
          <w:szCs w:val="21"/>
        </w:rPr>
      </w:pPr>
      <w:r>
        <w:rPr>
          <w:rFonts w:hint="eastAsia" w:ascii="宋体" w:hAnsi="宋体"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F187D5E">
      <w:pPr>
        <w:spacing w:line="420" w:lineRule="exact"/>
        <w:ind w:firstLine="420" w:firstLineChars="200"/>
        <w:jc w:val="left"/>
        <w:rPr>
          <w:rFonts w:ascii="宋体" w:hAnsi="宋体" w:cs="宋体"/>
          <w:szCs w:val="21"/>
        </w:rPr>
      </w:pPr>
      <w:r>
        <w:rPr>
          <w:rFonts w:hint="eastAsia" w:ascii="宋体" w:hAnsi="宋体" w:cs="宋体"/>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7462B2A">
      <w:pPr>
        <w:spacing w:line="420" w:lineRule="exact"/>
        <w:ind w:firstLine="413" w:firstLineChars="196"/>
        <w:rPr>
          <w:rFonts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45AE32E0">
      <w:pPr>
        <w:pStyle w:val="6"/>
        <w:spacing w:line="420" w:lineRule="exact"/>
        <w:ind w:firstLine="420" w:firstLineChars="200"/>
        <w:rPr>
          <w:rFonts w:ascii="宋体" w:hAnsi="宋体" w:cs="宋体"/>
          <w:szCs w:val="21"/>
        </w:rPr>
      </w:pPr>
      <w:r>
        <w:rPr>
          <w:rFonts w:hint="eastAsia" w:ascii="宋体" w:hAnsi="宋体" w:cs="宋体"/>
          <w:szCs w:val="21"/>
        </w:rPr>
        <w:t>3. 不需要供应商对采购需求响应为具体数值的，此采购需求的数值后将以◆号标注。</w:t>
      </w:r>
    </w:p>
    <w:p w14:paraId="3D72880C">
      <w:pPr>
        <w:pStyle w:val="6"/>
        <w:spacing w:line="420" w:lineRule="exact"/>
        <w:ind w:firstLine="420" w:firstLineChars="200"/>
        <w:rPr>
          <w:rFonts w:hint="eastAsia" w:ascii="宋体" w:hAnsi="宋体" w:cs="宋体"/>
          <w:szCs w:val="21"/>
        </w:rPr>
      </w:pPr>
      <w:r>
        <w:rPr>
          <w:rFonts w:hint="eastAsia" w:ascii="宋体" w:hAnsi="宋体" w:cs="宋体"/>
          <w:szCs w:val="21"/>
        </w:rPr>
        <w:t>4. 如竞标人竞标产品存在侵犯他人的知识产权或者专利成果行为的，应承担相应法律责任。</w:t>
      </w:r>
    </w:p>
    <w:p w14:paraId="26F2D1C9">
      <w:pPr>
        <w:pStyle w:val="6"/>
        <w:spacing w:line="420" w:lineRule="exact"/>
        <w:ind w:firstLine="422" w:firstLineChars="200"/>
        <w:jc w:val="center"/>
        <w:rPr>
          <w:rFonts w:hint="eastAsia" w:ascii="宋体" w:hAnsi="宋体" w:cs="宋体"/>
          <w:szCs w:val="21"/>
        </w:rPr>
      </w:pPr>
      <w:r>
        <w:rPr>
          <w:rFonts w:hint="eastAsia" w:ascii="宋体" w:hAnsi="宋体" w:eastAsia="宋体" w:cs="宋体"/>
          <w:b/>
          <w:bCs/>
          <w:i w:val="0"/>
          <w:iCs w:val="0"/>
          <w:color w:val="000000"/>
          <w:kern w:val="0"/>
          <w:sz w:val="21"/>
          <w:szCs w:val="21"/>
          <w:u w:val="none"/>
          <w:lang w:val="en-US" w:eastAsia="zh-CN" w:bidi="ar"/>
        </w:rPr>
        <w:t>岳阳市智慧教育研学管理服务平台</w:t>
      </w:r>
      <w:r>
        <w:rPr>
          <w:rFonts w:hint="eastAsia" w:ascii="宋体" w:hAnsi="宋体" w:cs="宋体"/>
          <w:b/>
          <w:bCs/>
          <w:i w:val="0"/>
          <w:iCs w:val="0"/>
          <w:color w:val="000000"/>
          <w:kern w:val="0"/>
          <w:sz w:val="21"/>
          <w:szCs w:val="21"/>
          <w:u w:val="none"/>
          <w:lang w:val="en-US" w:eastAsia="zh-CN" w:bidi="ar"/>
        </w:rPr>
        <w:t>项目建设运营需求</w:t>
      </w:r>
      <w:r>
        <w:rPr>
          <w:rFonts w:hint="eastAsia" w:ascii="宋体" w:hAnsi="宋体" w:eastAsia="宋体" w:cs="宋体"/>
          <w:b/>
          <w:bCs/>
          <w:i w:val="0"/>
          <w:iCs w:val="0"/>
          <w:color w:val="000000"/>
          <w:kern w:val="0"/>
          <w:sz w:val="21"/>
          <w:szCs w:val="21"/>
          <w:u w:val="none"/>
          <w:lang w:val="en-US" w:eastAsia="zh-CN" w:bidi="ar"/>
        </w:rPr>
        <w:t>一览表</w:t>
      </w:r>
    </w:p>
    <w:tbl>
      <w:tblPr>
        <w:tblStyle w:val="9"/>
        <w:tblW w:w="10150" w:type="dxa"/>
        <w:tblInd w:w="-8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5"/>
        <w:gridCol w:w="1302"/>
        <w:gridCol w:w="150"/>
        <w:gridCol w:w="1019"/>
        <w:gridCol w:w="1069"/>
        <w:gridCol w:w="4935"/>
      </w:tblGrid>
      <w:tr w14:paraId="29F8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150"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14:paraId="50C08F20">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一、平台功能清单</w:t>
            </w:r>
          </w:p>
        </w:tc>
      </w:tr>
      <w:tr w14:paraId="226D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47590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0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DE86AB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模块</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4A56BF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一级功能菜单</w:t>
            </w:r>
          </w:p>
        </w:tc>
        <w:tc>
          <w:tcPr>
            <w:tcW w:w="106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FCA9D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二级功能菜单</w:t>
            </w:r>
          </w:p>
        </w:tc>
        <w:tc>
          <w:tcPr>
            <w:tcW w:w="493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03BB7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功能说明</w:t>
            </w:r>
          </w:p>
        </w:tc>
      </w:tr>
      <w:tr w14:paraId="4A6C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E9A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B62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政用系统学校端</w:t>
            </w: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2D1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资源库查询</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8FE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课程库</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9B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在线预览课程方案（教学目标、实践内容、物料准备），支持</w:t>
            </w:r>
            <w:r>
              <w:rPr>
                <w:rStyle w:val="12"/>
                <w:rFonts w:hint="eastAsia" w:ascii="宋体" w:hAnsi="宋体" w:eastAsia="宋体" w:cs="宋体"/>
                <w:sz w:val="21"/>
                <w:szCs w:val="21"/>
                <w:lang w:val="en-US" w:eastAsia="zh-CN" w:bidi="ar"/>
              </w:rPr>
              <w:t xml:space="preserve"> PDF </w:t>
            </w:r>
            <w:r>
              <w:rPr>
                <w:rStyle w:val="13"/>
                <w:rFonts w:hint="eastAsia" w:ascii="宋体" w:hAnsi="宋体" w:eastAsia="宋体" w:cs="宋体"/>
                <w:sz w:val="21"/>
                <w:szCs w:val="21"/>
                <w:lang w:val="en-US" w:eastAsia="zh-CN" w:bidi="ar"/>
              </w:rPr>
              <w:t>下载</w:t>
            </w:r>
          </w:p>
        </w:tc>
      </w:tr>
      <w:tr w14:paraId="668B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D9650">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4449A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4092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77F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产品库</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0E5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在线预览产品方案（课程方案、行程安排、收费标准、退改政策等），支持</w:t>
            </w:r>
            <w:r>
              <w:rPr>
                <w:rStyle w:val="12"/>
                <w:rFonts w:hint="eastAsia" w:ascii="宋体" w:hAnsi="宋体" w:eastAsia="宋体" w:cs="宋体"/>
                <w:sz w:val="21"/>
                <w:szCs w:val="21"/>
                <w:lang w:val="en-US" w:eastAsia="zh-CN" w:bidi="ar"/>
              </w:rPr>
              <w:t xml:space="preserve"> PDF </w:t>
            </w:r>
            <w:r>
              <w:rPr>
                <w:rFonts w:hint="eastAsia" w:ascii="宋体" w:hAnsi="宋体" w:eastAsia="宋体" w:cs="宋体"/>
                <w:i w:val="0"/>
                <w:iCs w:val="0"/>
                <w:color w:val="000000"/>
                <w:kern w:val="0"/>
                <w:sz w:val="21"/>
                <w:szCs w:val="21"/>
                <w:u w:val="none"/>
                <w:lang w:val="en-US" w:eastAsia="zh-CN" w:bidi="ar"/>
              </w:rPr>
              <w:t>下载</w:t>
            </w:r>
          </w:p>
        </w:tc>
      </w:tr>
      <w:tr w14:paraId="0688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37D2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8A1E9">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B0BA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9E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基地库</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3AA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在线查看研学基地、营地信息（名称、简介、地址、联系方式等）</w:t>
            </w:r>
          </w:p>
        </w:tc>
      </w:tr>
      <w:tr w14:paraId="5BF5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074A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690C1B">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E624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CDD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机构库</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FE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在线查看研学承办机构信息（名称、简介、地址、联系方式等）</w:t>
            </w:r>
          </w:p>
        </w:tc>
      </w:tr>
      <w:tr w14:paraId="0C10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F185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2E688B">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428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研学备案</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E9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参考文件下载</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6D4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支持下载备案表</w:t>
            </w:r>
            <w:r>
              <w:rPr>
                <w:rFonts w:hint="eastAsia" w:ascii="宋体" w:hAnsi="宋体" w:cs="宋体"/>
                <w:i w:val="0"/>
                <w:iCs w:val="0"/>
                <w:color w:val="000000"/>
                <w:kern w:val="0"/>
                <w:sz w:val="21"/>
                <w:szCs w:val="21"/>
                <w:u w:val="none"/>
                <w:lang w:val="en-US" w:eastAsia="zh-CN" w:bidi="ar"/>
              </w:rPr>
              <w:t>模板</w:t>
            </w:r>
            <w:r>
              <w:rPr>
                <w:rFonts w:hint="eastAsia" w:ascii="宋体" w:hAnsi="宋体" w:eastAsia="宋体" w:cs="宋体"/>
                <w:i w:val="0"/>
                <w:iCs w:val="0"/>
                <w:color w:val="000000"/>
                <w:kern w:val="0"/>
                <w:sz w:val="21"/>
                <w:szCs w:val="21"/>
                <w:u w:val="none"/>
                <w:lang w:val="en-US" w:eastAsia="zh-CN" w:bidi="ar"/>
              </w:rPr>
              <w:t>和活动方案、应急方案、家长一封信等参考文件</w:t>
            </w:r>
          </w:p>
        </w:tc>
      </w:tr>
      <w:tr w14:paraId="726A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77F7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2AD5B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ED780C">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82A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材料上传</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BA4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学校填写活动主题、人数、路线、时间，选择承办机构等备案信息，上传安全预案、保险凭证、车队资料等，材料不全无法提交备案</w:t>
            </w:r>
          </w:p>
        </w:tc>
      </w:tr>
      <w:tr w14:paraId="4CA7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B91C7">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C75E0">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7589A">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22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备案信息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43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查看备案时间、备案信息及审批进度等</w:t>
            </w:r>
          </w:p>
        </w:tc>
      </w:tr>
      <w:tr w14:paraId="6832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C594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CF14A">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976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备案学校审批</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D28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学校审批</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1A5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备案材料管理员上传</w:t>
            </w:r>
            <w:r>
              <w:rPr>
                <w:rFonts w:hint="eastAsia" w:ascii="宋体" w:hAnsi="宋体" w:cs="宋体"/>
                <w:i w:val="0"/>
                <w:iCs w:val="0"/>
                <w:color w:val="000000"/>
                <w:kern w:val="0"/>
                <w:sz w:val="21"/>
                <w:szCs w:val="21"/>
                <w:u w:val="none"/>
                <w:lang w:val="en-US" w:eastAsia="zh-CN" w:bidi="ar"/>
              </w:rPr>
              <w:t>备案</w:t>
            </w:r>
            <w:r>
              <w:rPr>
                <w:rFonts w:hint="eastAsia" w:ascii="宋体" w:hAnsi="宋体" w:eastAsia="宋体" w:cs="宋体"/>
                <w:i w:val="0"/>
                <w:iCs w:val="0"/>
                <w:color w:val="000000"/>
                <w:kern w:val="0"/>
                <w:sz w:val="21"/>
                <w:szCs w:val="21"/>
                <w:u w:val="none"/>
                <w:lang w:val="en-US" w:eastAsia="zh-CN" w:bidi="ar"/>
              </w:rPr>
              <w:t>材料，学校负责人进行审批确认</w:t>
            </w:r>
          </w:p>
        </w:tc>
      </w:tr>
      <w:tr w14:paraId="665B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6B42F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EFF6C6">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8DA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订单管理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7D7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预订订单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1B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通过产品库筛选产品，并进行订单预订，显示预订中的订单</w:t>
            </w:r>
          </w:p>
        </w:tc>
      </w:tr>
      <w:tr w14:paraId="047A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5DE1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4B646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C398C">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1BF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订单详情</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7C6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查看所有订单（待支付</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已支付</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已取消</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已完成），支持订单详情查看</w:t>
            </w:r>
          </w:p>
        </w:tc>
      </w:tr>
      <w:tr w14:paraId="115B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1478B6">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7BA80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6EC53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B8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基地预约记录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03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通过基地库筛选基地，并进行基地预约，显示预约中的订单</w:t>
            </w:r>
          </w:p>
        </w:tc>
      </w:tr>
      <w:tr w14:paraId="3E4A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02202">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A4793">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359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BF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学校评价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B8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学校对基地</w:t>
            </w:r>
            <w:r>
              <w:rPr>
                <w:rStyle w:val="14"/>
                <w:rFonts w:hint="eastAsia" w:ascii="宋体" w:hAnsi="宋体" w:cs="宋体"/>
                <w:sz w:val="21"/>
                <w:szCs w:val="21"/>
                <w:lang w:val="en-US" w:eastAsia="zh-CN" w:bidi="ar"/>
              </w:rPr>
              <w:t>/</w:t>
            </w:r>
            <w:r>
              <w:rPr>
                <w:rStyle w:val="15"/>
                <w:rFonts w:hint="eastAsia" w:ascii="宋体" w:hAnsi="宋体" w:eastAsia="宋体" w:cs="宋体"/>
                <w:sz w:val="21"/>
                <w:szCs w:val="21"/>
                <w:lang w:val="en-US" w:eastAsia="zh-CN" w:bidi="ar"/>
              </w:rPr>
              <w:t>机构的课程质量、安全保障、导师服务评分，支持文字评价</w:t>
            </w:r>
          </w:p>
        </w:tc>
      </w:tr>
      <w:tr w14:paraId="79F4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28E7C">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17DF8">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B5F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D3C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通知消息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EC0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接收平台推送的信息提示，如有订单待确认、机构已接团等</w:t>
            </w:r>
          </w:p>
        </w:tc>
      </w:tr>
      <w:tr w14:paraId="4D2C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9B2C0">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C50A8">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F100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49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政策推送</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D26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使用编辑器录入政策标题、内容、附件，设置生效时间，按角色（学校</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基地</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机构）定向推送政策和资讯动态</w:t>
            </w:r>
          </w:p>
        </w:tc>
      </w:tr>
      <w:tr w14:paraId="4CA8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5EEB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65732">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D2B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个人中心</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F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DE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可编辑修改学校信息，如名称、简介、地址、联系方式等</w:t>
            </w:r>
          </w:p>
        </w:tc>
      </w:tr>
      <w:tr w14:paraId="5394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949FFA">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63414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187D8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5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我的意向线路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842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显示已收藏的意向路线，快速进入查看产品详情</w:t>
            </w:r>
          </w:p>
        </w:tc>
      </w:tr>
      <w:tr w14:paraId="0E57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55AA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46BC7">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4036F">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47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我的浏览足迹</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93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显示近期已浏览过的课程、产品等信息</w:t>
            </w:r>
          </w:p>
        </w:tc>
      </w:tr>
      <w:tr w14:paraId="334A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1036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BBE3A">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D4F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系统设置</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BD2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E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超管员可对学校相关审批部门操作人员设置系统权限</w:t>
            </w:r>
          </w:p>
        </w:tc>
      </w:tr>
      <w:tr w14:paraId="74FA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AE5FA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1AD1F">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E8F6B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DAA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账号管理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4A9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可设置教育局相关审批部门操作人员账号，新增、删除、编辑</w:t>
            </w:r>
          </w:p>
        </w:tc>
      </w:tr>
      <w:tr w14:paraId="193D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43616">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FF27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0CA8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4E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登录日志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13B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超管账号显示各成员的登录日志，成员查看各自的登录日志</w:t>
            </w:r>
          </w:p>
        </w:tc>
      </w:tr>
      <w:tr w14:paraId="184C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FD59DA">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D82DD">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F833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C85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808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超管员可查看操作人员的操作记录。</w:t>
            </w:r>
          </w:p>
        </w:tc>
      </w:tr>
      <w:tr w14:paraId="626A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729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906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政用系统教育局端</w:t>
            </w: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171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00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待审批列表</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B2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教育局查看待审批备案列表，展示申请学校、活动详情、材料完整性，支持一键通过</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驳回</w:t>
            </w:r>
          </w:p>
        </w:tc>
      </w:tr>
      <w:tr w14:paraId="0B63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40D61">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CD00B">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1BAD3">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32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22F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驳回时需选择原因（如材料不全、路线不合规），意见实时通知学校，审批通过后自动生成备案编号</w:t>
            </w:r>
          </w:p>
        </w:tc>
      </w:tr>
      <w:tr w14:paraId="0D81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88116">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B9695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C1D41B">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AE5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审批权限配置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A57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超级管理员可设置审批流程，设置审批人及对应权限，实现多部门同步在线会签。</w:t>
            </w:r>
          </w:p>
        </w:tc>
      </w:tr>
      <w:tr w14:paraId="7583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89460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CAA2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F4F4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774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审批代理人设置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14B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审批人因特殊情况无法审批，可临时设置审批代理人</w:t>
            </w:r>
          </w:p>
        </w:tc>
      </w:tr>
      <w:tr w14:paraId="3F74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C9631">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87BED">
            <w:pPr>
              <w:jc w:val="center"/>
              <w:rPr>
                <w:rFonts w:hint="eastAsia" w:ascii="宋体" w:hAnsi="宋体" w:eastAsia="宋体" w:cs="宋体"/>
                <w:i w:val="0"/>
                <w:iCs w:val="0"/>
                <w:color w:val="000000"/>
                <w:sz w:val="21"/>
                <w:szCs w:val="21"/>
                <w:u w:val="none"/>
              </w:rPr>
            </w:pPr>
          </w:p>
        </w:tc>
        <w:tc>
          <w:tcPr>
            <w:tcW w:w="1169"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14:paraId="69139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49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58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可查看管辖学校信息，如办学性质、备案次数、联系人等</w:t>
            </w:r>
          </w:p>
        </w:tc>
      </w:tr>
      <w:tr w14:paraId="0D43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EE28E8">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E11455">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3EA9C45F">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A2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备案信息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AC7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查看已备案通过的学校信息</w:t>
            </w:r>
          </w:p>
        </w:tc>
      </w:tr>
      <w:tr w14:paraId="0BA2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DEE66">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A02A9">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7AEA4F4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EF7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备案统计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B7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查看已备案通过的学校备案汇总数据，如：出行人数、活动次数、评价次数等</w:t>
            </w:r>
          </w:p>
        </w:tc>
      </w:tr>
      <w:tr w14:paraId="3C62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C5E3E">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4F563">
            <w:pPr>
              <w:jc w:val="center"/>
              <w:rPr>
                <w:rFonts w:hint="eastAsia" w:ascii="宋体" w:hAnsi="宋体" w:eastAsia="宋体" w:cs="宋体"/>
                <w:i w:val="0"/>
                <w:iCs w:val="0"/>
                <w:color w:val="000000"/>
                <w:sz w:val="21"/>
                <w:szCs w:val="21"/>
                <w:u w:val="none"/>
              </w:rPr>
            </w:pPr>
          </w:p>
        </w:tc>
        <w:tc>
          <w:tcPr>
            <w:tcW w:w="1169"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14:paraId="4471A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基地管理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A52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AB2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可查看基地信息，如类型、等级、联系人、地址等</w:t>
            </w:r>
          </w:p>
        </w:tc>
      </w:tr>
      <w:tr w14:paraId="2052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BEADE">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AE5B9">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43D53A8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A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数据审核</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75D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在线审核基数定期提交的研学数据</w:t>
            </w:r>
          </w:p>
        </w:tc>
      </w:tr>
      <w:tr w14:paraId="5CF9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0ADD5">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84E71">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3647D23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82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295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汇总所有管辖基地的数据，如研学总人数、总场数等</w:t>
            </w:r>
          </w:p>
        </w:tc>
      </w:tr>
      <w:tr w14:paraId="2CBA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91610D">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73013">
            <w:pPr>
              <w:jc w:val="center"/>
              <w:rPr>
                <w:rFonts w:hint="eastAsia" w:ascii="宋体" w:hAnsi="宋体" w:eastAsia="宋体" w:cs="宋体"/>
                <w:i w:val="0"/>
                <w:iCs w:val="0"/>
                <w:color w:val="000000"/>
                <w:sz w:val="21"/>
                <w:szCs w:val="21"/>
                <w:u w:val="none"/>
              </w:rPr>
            </w:pPr>
          </w:p>
        </w:tc>
        <w:tc>
          <w:tcPr>
            <w:tcW w:w="1169"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14:paraId="74F6B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29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7A7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可查看承办机构信息，如负责人、资质信息、联系人、地址等</w:t>
            </w:r>
          </w:p>
        </w:tc>
      </w:tr>
      <w:tr w14:paraId="1116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2C0C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3251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76D5032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E48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85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汇总所有管辖承办机构的数据，如研学总人数、总场数等</w:t>
            </w:r>
          </w:p>
        </w:tc>
      </w:tr>
      <w:tr w14:paraId="2AFC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459B3">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9C4A4">
            <w:pPr>
              <w:jc w:val="center"/>
              <w:rPr>
                <w:rFonts w:hint="eastAsia" w:ascii="宋体" w:hAnsi="宋体" w:eastAsia="宋体" w:cs="宋体"/>
                <w:i w:val="0"/>
                <w:iCs w:val="0"/>
                <w:color w:val="000000"/>
                <w:sz w:val="21"/>
                <w:szCs w:val="21"/>
                <w:u w:val="none"/>
              </w:rPr>
            </w:pPr>
          </w:p>
        </w:tc>
        <w:tc>
          <w:tcPr>
            <w:tcW w:w="1169" w:type="dxa"/>
            <w:gridSpan w:val="2"/>
            <w:tcBorders>
              <w:top w:val="nil"/>
              <w:left w:val="single" w:color="000000" w:sz="4" w:space="0"/>
              <w:bottom w:val="single" w:color="000000" w:sz="4" w:space="0"/>
              <w:right w:val="single" w:color="000000" w:sz="4" w:space="0"/>
            </w:tcBorders>
            <w:shd w:val="clear" w:color="auto" w:fill="FFFFFF"/>
            <w:vAlign w:val="center"/>
          </w:tcPr>
          <w:p w14:paraId="1B477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导师管理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F0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304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可查看进驻本地区的导师信息，如</w:t>
            </w:r>
            <w:r>
              <w:rPr>
                <w:rFonts w:hint="eastAsia" w:ascii="宋体" w:hAnsi="宋体" w:cs="宋体"/>
                <w:i w:val="0"/>
                <w:iCs w:val="0"/>
                <w:color w:val="000000"/>
                <w:kern w:val="0"/>
                <w:sz w:val="21"/>
                <w:szCs w:val="21"/>
                <w:u w:val="none"/>
                <w:lang w:val="en-US" w:eastAsia="zh-CN" w:bidi="ar"/>
              </w:rPr>
              <w:t>姓名</w:t>
            </w:r>
            <w:r>
              <w:rPr>
                <w:rFonts w:hint="eastAsia" w:ascii="宋体" w:hAnsi="宋体" w:eastAsia="宋体" w:cs="宋体"/>
                <w:i w:val="0"/>
                <w:iCs w:val="0"/>
                <w:color w:val="000000"/>
                <w:kern w:val="0"/>
                <w:sz w:val="21"/>
                <w:szCs w:val="21"/>
                <w:u w:val="none"/>
                <w:lang w:val="en-US" w:eastAsia="zh-CN" w:bidi="ar"/>
              </w:rPr>
              <w:t>、资质证书、等级、联系电话等</w:t>
            </w:r>
          </w:p>
        </w:tc>
      </w:tr>
      <w:tr w14:paraId="30E1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21E153">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1A467">
            <w:pPr>
              <w:jc w:val="center"/>
              <w:rPr>
                <w:rFonts w:hint="eastAsia" w:ascii="宋体" w:hAnsi="宋体" w:eastAsia="宋体" w:cs="宋体"/>
                <w:i w:val="0"/>
                <w:iCs w:val="0"/>
                <w:color w:val="000000"/>
                <w:sz w:val="21"/>
                <w:szCs w:val="21"/>
                <w:u w:val="none"/>
              </w:rPr>
            </w:pPr>
          </w:p>
        </w:tc>
        <w:tc>
          <w:tcPr>
            <w:tcW w:w="1169"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14:paraId="24A74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39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学生评价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00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查看教师、导师对学生的评价以及学生自评、同伴互评</w:t>
            </w:r>
          </w:p>
        </w:tc>
      </w:tr>
      <w:tr w14:paraId="2CEE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23DAF">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70ACB">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6AB1169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D4F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基地评价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EA2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查看各角色对基地服务的评价</w:t>
            </w:r>
          </w:p>
        </w:tc>
      </w:tr>
      <w:tr w14:paraId="79ED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012E0">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980B5">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2742B2E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51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机构评价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E1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查看各角色对承办机构服务的评价</w:t>
            </w:r>
          </w:p>
        </w:tc>
      </w:tr>
      <w:tr w14:paraId="3EA4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300BC">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A3BD7">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2C3F930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7D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课程评价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BC8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查看各角色对课程计划和实施效果的评价</w:t>
            </w:r>
          </w:p>
        </w:tc>
      </w:tr>
      <w:tr w14:paraId="0BBA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6327D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C0F8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14:paraId="79F385C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806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导师评价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11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查看各角色对导师执行服务的效果评价</w:t>
            </w:r>
          </w:p>
        </w:tc>
      </w:tr>
      <w:tr w14:paraId="5076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46A83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88926">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814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通知公告</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EB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BAF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可添加新政策文件，查询已发布过的往期政策文件。</w:t>
            </w:r>
          </w:p>
        </w:tc>
      </w:tr>
      <w:tr w14:paraId="0E11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4F3116">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B9BF2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86348">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29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公告内容管理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0B1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可添加新公告文件，查询已发布过的往期公告文件。</w:t>
            </w:r>
          </w:p>
        </w:tc>
      </w:tr>
      <w:tr w14:paraId="6CCF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9439E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A132DB">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EA44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DA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公告分类管理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A23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可设置公告的类别，分类管理</w:t>
            </w:r>
          </w:p>
        </w:tc>
      </w:tr>
      <w:tr w14:paraId="01A6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F24B4">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76CBF">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777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系统设置</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D7C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部门设置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E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可设置教育局相关审批部门操作人员账号，新增、删除、编辑</w:t>
            </w:r>
          </w:p>
        </w:tc>
      </w:tr>
      <w:tr w14:paraId="67F8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1E2E3D">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09F9C">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C067B">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7E3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权限设置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03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可对审批部门操作人员设置系统权限</w:t>
            </w:r>
          </w:p>
        </w:tc>
      </w:tr>
      <w:tr w14:paraId="5B02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ECB88">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BEB57">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BB49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675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登录日志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2A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超管账号显示各成员的登录日志，成员查看各自的登录日志</w:t>
            </w:r>
          </w:p>
        </w:tc>
      </w:tr>
      <w:tr w14:paraId="6AD8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39C1C">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7F759">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0ED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首页</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680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813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实时统计学校、基地、机构、备案数据、课程和线路数据、学生出行数据</w:t>
            </w:r>
          </w:p>
        </w:tc>
      </w:tr>
      <w:tr w14:paraId="6BB3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303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186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政用系统基地端</w:t>
            </w: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3F3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6AC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课程上架</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03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添加新课程信息，如课程名称、适合学段、类别、时长、课程目标、课程内容等</w:t>
            </w:r>
          </w:p>
        </w:tc>
      </w:tr>
      <w:tr w14:paraId="4086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51598A">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39AF45">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299D3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AC9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68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查看已发布过的课程审批状态，实施编辑和上下架等操作</w:t>
            </w:r>
          </w:p>
        </w:tc>
      </w:tr>
      <w:tr w14:paraId="073B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B0165">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54FD5">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EC26A">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993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课程分类</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84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自定义设置课程类别和标签</w:t>
            </w:r>
          </w:p>
        </w:tc>
      </w:tr>
      <w:tr w14:paraId="76D3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A340C">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11798">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E9F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6B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数据上报</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150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新增上报及查看基地数据，如总人数、总场次、审核状态等</w:t>
            </w:r>
          </w:p>
        </w:tc>
      </w:tr>
      <w:tr w14:paraId="7AD3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5DF82">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FDE8B">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C3AAB">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D5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预约确认</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2D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根据基地的承载运营状态，确认或拒绝学校对基地的预约</w:t>
            </w:r>
          </w:p>
        </w:tc>
      </w:tr>
      <w:tr w14:paraId="5A77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FF661">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AA448">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E6820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CE4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74F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统计基地预约的相关数据，如次数、人数等</w:t>
            </w:r>
          </w:p>
        </w:tc>
      </w:tr>
      <w:tr w14:paraId="14E7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A9710">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C3287">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1F1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5F8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通知消息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0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接收平台推送的信息提示，如有预约待确认等</w:t>
            </w:r>
          </w:p>
        </w:tc>
      </w:tr>
      <w:tr w14:paraId="11CB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E9FC0">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1929C">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96A2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415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政策推送</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47A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查看教育局或平台推送的公告、政策和资讯动态</w:t>
            </w:r>
          </w:p>
        </w:tc>
      </w:tr>
      <w:tr w14:paraId="1953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E6B11A">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9950E5">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80A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个人中心</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830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F9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可编辑修改基地信息，如名称、简介、地址、联系方式等</w:t>
            </w:r>
          </w:p>
        </w:tc>
      </w:tr>
      <w:tr w14:paraId="63B2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600B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E0DDD">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7DF2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8DB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研学场所</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3F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添加基地各区域研学模板场地规划设置</w:t>
            </w:r>
          </w:p>
        </w:tc>
      </w:tr>
      <w:tr w14:paraId="183B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ED4E7A">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EDC9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8005D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AD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我的浏览足迹</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E2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显示近期已浏览过的课程、产品等信息</w:t>
            </w:r>
          </w:p>
        </w:tc>
      </w:tr>
      <w:tr w14:paraId="6F70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7428A">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6469B">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C01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系统设置</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81C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04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超管员可对基地相关操作人员设置系统权限</w:t>
            </w:r>
          </w:p>
        </w:tc>
      </w:tr>
      <w:tr w14:paraId="5E65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A103F0">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BC6F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B4C13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3D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账号管理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798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可设置操作人员账号，新增、删除、编辑</w:t>
            </w:r>
          </w:p>
        </w:tc>
      </w:tr>
      <w:tr w14:paraId="2183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9E8225">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68CA9">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242E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7D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登录日志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F56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超管账号显示各成员的登录日志，成员查看各自的登录日志</w:t>
            </w:r>
          </w:p>
        </w:tc>
      </w:tr>
      <w:tr w14:paraId="6C49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B8B3B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86DB9C">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3393F">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AF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998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超管员可查看操作人员的操作记录。</w:t>
            </w:r>
          </w:p>
        </w:tc>
      </w:tr>
      <w:tr w14:paraId="6059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63FD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DA0C39">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AE4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首页</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ADC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05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实时统计基地实时数据，如活动数、人数、课程数、待服务数、已完成数等</w:t>
            </w:r>
          </w:p>
        </w:tc>
      </w:tr>
      <w:tr w14:paraId="18EB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restart"/>
            <w:tcBorders>
              <w:top w:val="single" w:color="000000" w:sz="4" w:space="0"/>
              <w:left w:val="single" w:color="000000" w:sz="4" w:space="0"/>
              <w:bottom w:val="nil"/>
              <w:right w:val="single" w:color="000000" w:sz="4" w:space="0"/>
            </w:tcBorders>
            <w:shd w:val="clear" w:color="auto" w:fill="FFFFFF"/>
            <w:vAlign w:val="center"/>
          </w:tcPr>
          <w:p w14:paraId="47BE4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2" w:type="dxa"/>
            <w:vMerge w:val="restart"/>
            <w:tcBorders>
              <w:top w:val="single" w:color="000000" w:sz="4" w:space="0"/>
              <w:left w:val="single" w:color="000000" w:sz="4" w:space="0"/>
              <w:bottom w:val="nil"/>
              <w:right w:val="single" w:color="000000" w:sz="4" w:space="0"/>
            </w:tcBorders>
            <w:shd w:val="clear" w:color="auto" w:fill="FFFFFF"/>
            <w:vAlign w:val="center"/>
          </w:tcPr>
          <w:p w14:paraId="1054C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政用系统机构端</w:t>
            </w: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5B0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36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通知消息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79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接收平台推送的信息提示，如有预约待确认等</w:t>
            </w:r>
          </w:p>
        </w:tc>
      </w:tr>
      <w:tr w14:paraId="31C6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nil"/>
              <w:right w:val="single" w:color="000000" w:sz="4" w:space="0"/>
            </w:tcBorders>
            <w:shd w:val="clear" w:color="auto" w:fill="FFFFFF"/>
            <w:vAlign w:val="center"/>
          </w:tcPr>
          <w:p w14:paraId="78BBC4B8">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nil"/>
              <w:right w:val="single" w:color="000000" w:sz="4" w:space="0"/>
            </w:tcBorders>
            <w:shd w:val="clear" w:color="auto" w:fill="FFFFFF"/>
            <w:vAlign w:val="center"/>
          </w:tcPr>
          <w:p w14:paraId="527DDEA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5F772">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F02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政策推送</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C88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查看教育局或平台推送的公告、政策和资讯动态</w:t>
            </w:r>
          </w:p>
        </w:tc>
      </w:tr>
      <w:tr w14:paraId="2860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nil"/>
              <w:right w:val="single" w:color="000000" w:sz="4" w:space="0"/>
            </w:tcBorders>
            <w:shd w:val="clear" w:color="auto" w:fill="FFFFFF"/>
            <w:vAlign w:val="center"/>
          </w:tcPr>
          <w:p w14:paraId="429DDE9C">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nil"/>
              <w:right w:val="single" w:color="000000" w:sz="4" w:space="0"/>
            </w:tcBorders>
            <w:shd w:val="clear" w:color="auto" w:fill="FFFFFF"/>
            <w:vAlign w:val="center"/>
          </w:tcPr>
          <w:p w14:paraId="3E2C1C95">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nil"/>
              <w:right w:val="single" w:color="000000" w:sz="4" w:space="0"/>
            </w:tcBorders>
            <w:shd w:val="clear" w:color="auto" w:fill="FFFFFF"/>
            <w:vAlign w:val="center"/>
          </w:tcPr>
          <w:p w14:paraId="72B25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个人中心</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280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900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可编辑修改承办机构信息，如名称、简介、地址、联系方式等</w:t>
            </w:r>
          </w:p>
        </w:tc>
      </w:tr>
      <w:tr w14:paraId="01C8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nil"/>
              <w:right w:val="single" w:color="000000" w:sz="4" w:space="0"/>
            </w:tcBorders>
            <w:shd w:val="clear" w:color="auto" w:fill="FFFFFF"/>
            <w:vAlign w:val="center"/>
          </w:tcPr>
          <w:p w14:paraId="30B3C7FE">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nil"/>
              <w:right w:val="single" w:color="000000" w:sz="4" w:space="0"/>
            </w:tcBorders>
            <w:shd w:val="clear" w:color="auto" w:fill="FFFFFF"/>
            <w:vAlign w:val="center"/>
          </w:tcPr>
          <w:p w14:paraId="6B86B429">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DC7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系统设置</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3B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F1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超管员可对基地相关操作人员设置系统权限</w:t>
            </w:r>
          </w:p>
        </w:tc>
      </w:tr>
      <w:tr w14:paraId="677E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nil"/>
              <w:right w:val="single" w:color="000000" w:sz="4" w:space="0"/>
            </w:tcBorders>
            <w:shd w:val="clear" w:color="auto" w:fill="FFFFFF"/>
            <w:vAlign w:val="center"/>
          </w:tcPr>
          <w:p w14:paraId="11F5684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nil"/>
              <w:right w:val="single" w:color="000000" w:sz="4" w:space="0"/>
            </w:tcBorders>
            <w:shd w:val="clear" w:color="auto" w:fill="FFFFFF"/>
            <w:vAlign w:val="center"/>
          </w:tcPr>
          <w:p w14:paraId="3FD35FC1">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1F1E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C44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账号管理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CC8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可设置操作人员账号，新增、删除、编辑</w:t>
            </w:r>
          </w:p>
        </w:tc>
      </w:tr>
      <w:tr w14:paraId="453A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675" w:type="dxa"/>
            <w:vMerge w:val="continue"/>
            <w:tcBorders>
              <w:top w:val="single" w:color="000000" w:sz="4" w:space="0"/>
              <w:left w:val="single" w:color="000000" w:sz="4" w:space="0"/>
              <w:bottom w:val="nil"/>
              <w:right w:val="single" w:color="000000" w:sz="4" w:space="0"/>
            </w:tcBorders>
            <w:shd w:val="clear" w:color="auto" w:fill="FFFFFF"/>
            <w:vAlign w:val="center"/>
          </w:tcPr>
          <w:p w14:paraId="565AC59F">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nil"/>
              <w:right w:val="single" w:color="000000" w:sz="4" w:space="0"/>
            </w:tcBorders>
            <w:shd w:val="clear" w:color="auto" w:fill="FFFFFF"/>
            <w:vAlign w:val="center"/>
          </w:tcPr>
          <w:p w14:paraId="5104692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97870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6C3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登录日志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C8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超管账号显示各成员的登录日志，成员查看各自的登录日志</w:t>
            </w:r>
          </w:p>
        </w:tc>
      </w:tr>
      <w:tr w14:paraId="1A11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nil"/>
              <w:right w:val="single" w:color="000000" w:sz="4" w:space="0"/>
            </w:tcBorders>
            <w:shd w:val="clear" w:color="auto" w:fill="FFFFFF"/>
            <w:vAlign w:val="center"/>
          </w:tcPr>
          <w:p w14:paraId="4B6995ED">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nil"/>
              <w:right w:val="single" w:color="000000" w:sz="4" w:space="0"/>
            </w:tcBorders>
            <w:shd w:val="clear" w:color="auto" w:fill="FFFFFF"/>
            <w:vAlign w:val="center"/>
          </w:tcPr>
          <w:p w14:paraId="10D92DC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79D2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F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C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超管员可查看操作人员的操作记录。</w:t>
            </w:r>
          </w:p>
        </w:tc>
      </w:tr>
      <w:tr w14:paraId="2CC9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nil"/>
              <w:right w:val="single" w:color="000000" w:sz="4" w:space="0"/>
            </w:tcBorders>
            <w:shd w:val="clear" w:color="auto" w:fill="FFFFFF"/>
            <w:vAlign w:val="center"/>
          </w:tcPr>
          <w:p w14:paraId="77164697">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nil"/>
              <w:right w:val="single" w:color="000000" w:sz="4" w:space="0"/>
            </w:tcBorders>
            <w:shd w:val="clear" w:color="auto" w:fill="FFFFFF"/>
            <w:vAlign w:val="center"/>
          </w:tcPr>
          <w:p w14:paraId="7B6E581F">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DE3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首页</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BB1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26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实时统计承办机构实时数据，如活动数、人数、课程数、待服务数、已完成数等</w:t>
            </w:r>
          </w:p>
        </w:tc>
      </w:tr>
      <w:tr w14:paraId="646A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restart"/>
            <w:tcBorders>
              <w:top w:val="nil"/>
              <w:left w:val="single" w:color="000000" w:sz="4" w:space="0"/>
              <w:bottom w:val="single" w:color="000000" w:sz="4" w:space="0"/>
              <w:right w:val="single" w:color="000000" w:sz="4" w:space="0"/>
            </w:tcBorders>
            <w:shd w:val="clear" w:color="auto" w:fill="FFFFFF"/>
            <w:vAlign w:val="center"/>
          </w:tcPr>
          <w:p w14:paraId="2B1A3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2" w:type="dxa"/>
            <w:vMerge w:val="restart"/>
            <w:tcBorders>
              <w:top w:val="nil"/>
              <w:left w:val="single" w:color="000000" w:sz="4" w:space="0"/>
              <w:bottom w:val="single" w:color="000000" w:sz="4" w:space="0"/>
              <w:right w:val="single" w:color="000000" w:sz="4" w:space="0"/>
            </w:tcBorders>
            <w:shd w:val="clear" w:color="auto" w:fill="FFFFFF"/>
            <w:vAlign w:val="center"/>
          </w:tcPr>
          <w:p w14:paraId="5449A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商用系统机构端</w:t>
            </w: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2BB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EA7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产品上架</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94F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添加新产品信息，如课程方案，行程安排、安全保障、收费标准等</w:t>
            </w:r>
          </w:p>
        </w:tc>
      </w:tr>
      <w:tr w14:paraId="77F3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966E722">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1410B1D">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3124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639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D18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查看已发布过的产品审批状态，实施编辑和上下架等操作</w:t>
            </w:r>
          </w:p>
        </w:tc>
      </w:tr>
      <w:tr w14:paraId="167B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64C40B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CCCD36F">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DA58B">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0E8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产品分类</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3C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自定义设置产品类别和标签</w:t>
            </w:r>
          </w:p>
        </w:tc>
      </w:tr>
      <w:tr w14:paraId="0AF2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1666B303">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BABFECC">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815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研学活动</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FC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研学订单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4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查看已发布的活动状态，如进行中，已报名，已结束等</w:t>
            </w:r>
          </w:p>
        </w:tc>
      </w:tr>
      <w:tr w14:paraId="47F7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2D41B7F">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97659E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7FE6DF">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4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发布活动</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326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发布校内研学活动，填写活动信息（产品方案、活动须知、家长一封信等），生成学校报名缴费二维码</w:t>
            </w:r>
          </w:p>
        </w:tc>
      </w:tr>
      <w:tr w14:paraId="3CB2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36E43C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CFCCCE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685B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C4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活动相册</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7F8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上传研学活动相片，支持家长在小程序端在线查看</w:t>
            </w:r>
          </w:p>
        </w:tc>
      </w:tr>
      <w:tr w14:paraId="2037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22688D2">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776AD0E">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F7E1A">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4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活动评价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C27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查看各角色对本活动的效果评价内容，回复并改进</w:t>
            </w:r>
          </w:p>
        </w:tc>
      </w:tr>
      <w:tr w14:paraId="5061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16720CB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6A739791">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right w:val="single" w:color="000000" w:sz="4" w:space="0"/>
            </w:tcBorders>
            <w:shd w:val="clear" w:color="auto" w:fill="FFFFFF"/>
            <w:vAlign w:val="center"/>
          </w:tcPr>
          <w:p w14:paraId="040EC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订单管理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830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活动订单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ED5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查询已生成的交易订单，如人数、金额、支付状态等</w:t>
            </w:r>
          </w:p>
        </w:tc>
      </w:tr>
      <w:tr w14:paraId="5F69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201D84C">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DA577D9">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right w:val="single" w:color="000000" w:sz="4" w:space="0"/>
            </w:tcBorders>
            <w:shd w:val="clear" w:color="auto" w:fill="FFFFFF"/>
            <w:vAlign w:val="center"/>
          </w:tcPr>
          <w:p w14:paraId="5364142B">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83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核销记录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2A9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查询活动核销情况，如用户名称、核销方式、数量等</w:t>
            </w:r>
          </w:p>
        </w:tc>
      </w:tr>
      <w:tr w14:paraId="31FB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BFEBD87">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C5C17B2">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bottom w:val="single" w:color="000000" w:sz="4" w:space="0"/>
              <w:right w:val="single" w:color="000000" w:sz="4" w:space="0"/>
            </w:tcBorders>
            <w:shd w:val="clear" w:color="auto" w:fill="FFFFFF"/>
            <w:vAlign w:val="center"/>
          </w:tcPr>
          <w:p w14:paraId="284DE75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33F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售后订单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2AB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查询客户发起的退款申请信息，进行通过或驳回的审批操作</w:t>
            </w:r>
          </w:p>
        </w:tc>
      </w:tr>
      <w:tr w14:paraId="0E80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44ECA7B">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F8639B4">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right w:val="single" w:color="000000" w:sz="4" w:space="0"/>
            </w:tcBorders>
            <w:shd w:val="clear" w:color="auto" w:fill="FFFFFF"/>
            <w:vAlign w:val="center"/>
          </w:tcPr>
          <w:p w14:paraId="467FB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32B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申请结算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06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对于已接团订单进行团费结算申请。</w:t>
            </w:r>
          </w:p>
        </w:tc>
      </w:tr>
      <w:tr w14:paraId="623D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1AFAD06C">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7C20079">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right w:val="single" w:color="000000" w:sz="4" w:space="0"/>
            </w:tcBorders>
            <w:shd w:val="clear" w:color="auto" w:fill="FFFFFF"/>
            <w:vAlign w:val="center"/>
          </w:tcPr>
          <w:p w14:paraId="69E30C1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B0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资金明细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DFA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查询资金明细，如每一笔订单的交易金额、收入金额、支出金额、账户余额等</w:t>
            </w:r>
          </w:p>
        </w:tc>
      </w:tr>
      <w:tr w14:paraId="7D19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80E9112">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AF4B691">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right w:val="single" w:color="000000" w:sz="4" w:space="0"/>
            </w:tcBorders>
            <w:shd w:val="clear" w:color="auto" w:fill="FFFFFF"/>
            <w:vAlign w:val="center"/>
          </w:tcPr>
          <w:p w14:paraId="32336F2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3D1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账单记录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A3F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自动生成日、周、月账单，一键查看收支情况</w:t>
            </w:r>
          </w:p>
        </w:tc>
      </w:tr>
      <w:tr w14:paraId="6B0A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FC09020">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6D4B02A4">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right w:val="single" w:color="000000" w:sz="4" w:space="0"/>
            </w:tcBorders>
            <w:shd w:val="clear" w:color="auto" w:fill="FFFFFF"/>
            <w:vAlign w:val="center"/>
          </w:tcPr>
          <w:p w14:paraId="37F769F8">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AC5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提现明细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D6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查询每一笔费用的提现明细，如提现金额、提现状态、账户余额等</w:t>
            </w:r>
          </w:p>
        </w:tc>
      </w:tr>
      <w:tr w14:paraId="7CD9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AF3FA36">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A7DB5F7">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bottom w:val="single" w:color="000000" w:sz="4" w:space="0"/>
              <w:right w:val="single" w:color="000000" w:sz="4" w:space="0"/>
            </w:tcBorders>
            <w:shd w:val="clear" w:color="auto" w:fill="FFFFFF"/>
            <w:vAlign w:val="center"/>
          </w:tcPr>
          <w:p w14:paraId="3CBC3E6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6A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提现账户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DF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添加服务商平台请款银行账号信息，提交审核通过后可默认为转账账号。</w:t>
            </w:r>
          </w:p>
        </w:tc>
      </w:tr>
      <w:tr w14:paraId="3A4B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1CBDF6AA">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B9901D8">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nil"/>
              <w:right w:val="single" w:color="000000" w:sz="4" w:space="0"/>
            </w:tcBorders>
            <w:shd w:val="clear" w:color="auto" w:fill="FFFFFF"/>
            <w:vAlign w:val="center"/>
          </w:tcPr>
          <w:p w14:paraId="356A4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B6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1E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自动生成活动数据统计，如活动次数、人数、金额等</w:t>
            </w:r>
          </w:p>
        </w:tc>
      </w:tr>
      <w:tr w14:paraId="60A5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12472CA7">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BC6584D">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14:paraId="459DFE63">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59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交易统计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7A3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自动生成活动数据统计，如订单数、订单金额、退款</w:t>
            </w:r>
            <w:r>
              <w:rPr>
                <w:rFonts w:hint="eastAsia" w:ascii="宋体" w:hAnsi="宋体" w:cs="宋体"/>
                <w:i w:val="0"/>
                <w:iCs w:val="0"/>
                <w:color w:val="000000"/>
                <w:kern w:val="0"/>
                <w:sz w:val="21"/>
                <w:szCs w:val="21"/>
                <w:u w:val="none"/>
                <w:lang w:val="en-US" w:eastAsia="zh-CN" w:bidi="ar"/>
              </w:rPr>
              <w:t>人数</w:t>
            </w:r>
            <w:r>
              <w:rPr>
                <w:rFonts w:hint="eastAsia" w:ascii="宋体" w:hAnsi="宋体" w:eastAsia="宋体" w:cs="宋体"/>
                <w:i w:val="0"/>
                <w:iCs w:val="0"/>
                <w:color w:val="000000"/>
                <w:kern w:val="0"/>
                <w:sz w:val="21"/>
                <w:szCs w:val="21"/>
                <w:u w:val="none"/>
                <w:lang w:val="en-US" w:eastAsia="zh-CN" w:bidi="ar"/>
              </w:rPr>
              <w:t>、退款金额、交易总金额等</w:t>
            </w:r>
          </w:p>
        </w:tc>
      </w:tr>
      <w:tr w14:paraId="314E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4238D60">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15BE6AA">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FB5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C5B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通知消息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8A3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接收平台推送的信息提示，如有预约待确认等</w:t>
            </w:r>
          </w:p>
        </w:tc>
      </w:tr>
      <w:tr w14:paraId="130C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7770C68">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E96A1B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D1B88">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41E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政策推送</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01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查看教育局或平台推送的公告、政策和资讯动态</w:t>
            </w:r>
          </w:p>
        </w:tc>
      </w:tr>
      <w:tr w14:paraId="207C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58D0727">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CF2D635">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nil"/>
              <w:right w:val="single" w:color="000000" w:sz="4" w:space="0"/>
            </w:tcBorders>
            <w:shd w:val="clear" w:color="auto" w:fill="FFFFFF"/>
            <w:vAlign w:val="center"/>
          </w:tcPr>
          <w:p w14:paraId="40A8A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个人中心</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9B2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FB5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可编辑修改承办机构信息，如名称、简介、地址、联系方式等</w:t>
            </w:r>
          </w:p>
        </w:tc>
      </w:tr>
      <w:tr w14:paraId="5CF5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60CFC83">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2444CBB">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9FF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系统设置</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0AE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1F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超管员可对基地相关操作人员设置系统权限</w:t>
            </w:r>
          </w:p>
        </w:tc>
      </w:tr>
      <w:tr w14:paraId="34CB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677ED43">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C90EAA8">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E3C7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337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账号管理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AB5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可设置操作人员账号，新增、删除、编辑</w:t>
            </w:r>
          </w:p>
        </w:tc>
      </w:tr>
      <w:tr w14:paraId="6A35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2F934D1">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63947F60">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CD2E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BBE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登录日志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3E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超管账号显示各成员的登录日志，成员查看各自的登录日志</w:t>
            </w:r>
          </w:p>
        </w:tc>
      </w:tr>
      <w:tr w14:paraId="7C70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E7322A8">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3E5EB00">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C8DE2">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D8D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26A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超管员可查看操作人员的操作记录。</w:t>
            </w:r>
          </w:p>
        </w:tc>
      </w:tr>
      <w:tr w14:paraId="0D1E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8F2AA77">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88902AA">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433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首页</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0A5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748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实时统计承办机构实时数据，如活动数、人数、课程数、待服务数、已完成数等</w:t>
            </w:r>
          </w:p>
        </w:tc>
      </w:tr>
      <w:tr w14:paraId="6008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restart"/>
            <w:tcBorders>
              <w:top w:val="nil"/>
              <w:left w:val="single" w:color="000000" w:sz="4" w:space="0"/>
              <w:bottom w:val="single" w:color="000000" w:sz="4" w:space="0"/>
              <w:right w:val="single" w:color="000000" w:sz="4" w:space="0"/>
            </w:tcBorders>
            <w:shd w:val="clear" w:color="auto" w:fill="FFFFFF"/>
            <w:vAlign w:val="center"/>
          </w:tcPr>
          <w:p w14:paraId="572B5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2" w:type="dxa"/>
            <w:vMerge w:val="restart"/>
            <w:tcBorders>
              <w:top w:val="nil"/>
              <w:left w:val="single" w:color="000000" w:sz="4" w:space="0"/>
              <w:bottom w:val="single" w:color="000000" w:sz="4" w:space="0"/>
              <w:right w:val="single" w:color="000000" w:sz="4" w:space="0"/>
            </w:tcBorders>
            <w:shd w:val="clear" w:color="auto" w:fill="FFFFFF"/>
            <w:vAlign w:val="center"/>
          </w:tcPr>
          <w:p w14:paraId="667F5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商用系统管理端</w:t>
            </w:r>
          </w:p>
        </w:tc>
        <w:tc>
          <w:tcPr>
            <w:tcW w:w="1169" w:type="dxa"/>
            <w:gridSpan w:val="2"/>
            <w:tcBorders>
              <w:top w:val="nil"/>
              <w:left w:val="single" w:color="000000" w:sz="4" w:space="0"/>
              <w:bottom w:val="single" w:color="000000" w:sz="4" w:space="0"/>
              <w:right w:val="single" w:color="000000" w:sz="4" w:space="0"/>
            </w:tcBorders>
            <w:shd w:val="clear" w:color="auto" w:fill="FFFFFF"/>
            <w:vAlign w:val="center"/>
          </w:tcPr>
          <w:p w14:paraId="2A33C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教育局管理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B2D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教育局信息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E7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添加或查询教育局信息，如联系人、联系电话、地址、简介等，开设账号</w:t>
            </w:r>
          </w:p>
        </w:tc>
      </w:tr>
      <w:tr w14:paraId="0CE3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6F693AD">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3B5430F">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E77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8A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E9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添加或查询学校信息，如联系人、联系电话、地址、简介等，开设账号</w:t>
            </w:r>
          </w:p>
        </w:tc>
      </w:tr>
      <w:tr w14:paraId="7A6A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6DE032B">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3A34181">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E5BA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E76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账号管理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08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设置账户身份、重置密码等操作</w:t>
            </w:r>
          </w:p>
        </w:tc>
      </w:tr>
      <w:tr w14:paraId="0671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B2D8445">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2060EA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4287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010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研学活动</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88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查看研学活动，支持活动列表导出，审核机构活动发布</w:t>
            </w:r>
          </w:p>
        </w:tc>
      </w:tr>
      <w:tr w14:paraId="7E15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05DE5F5">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71EC461">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FFD6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113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研学统计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E58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查看管辖学校所有订单（待支付</w:t>
            </w:r>
            <w:r>
              <w:rPr>
                <w:rStyle w:val="16"/>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已支付</w:t>
            </w:r>
            <w:r>
              <w:rPr>
                <w:rStyle w:val="16"/>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已取消</w:t>
            </w:r>
            <w:r>
              <w:rPr>
                <w:rStyle w:val="16"/>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已完成），支持订单导出</w:t>
            </w:r>
          </w:p>
        </w:tc>
      </w:tr>
      <w:tr w14:paraId="1431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298799A">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6B1FD820">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351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基地管理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A33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E8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添加或查询基地信息，如联系人、联系电话、地址、简介等，开设账号</w:t>
            </w:r>
          </w:p>
        </w:tc>
      </w:tr>
      <w:tr w14:paraId="5D57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AC249C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A2B0A27">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E1FA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A8F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审核上报</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AB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审核基地上报提交的研学数据，查询审核记录</w:t>
            </w:r>
          </w:p>
        </w:tc>
      </w:tr>
      <w:tr w14:paraId="12C9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825C0C6">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669884A7">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F97AB">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87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账号管理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25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设置账户身份、重置密码等操作</w:t>
            </w:r>
          </w:p>
        </w:tc>
      </w:tr>
      <w:tr w14:paraId="2A06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A59013F">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889D267">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5BF2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F42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课程审核</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BD9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审核基地上架的课程内容，编辑、强制下架等</w:t>
            </w:r>
          </w:p>
        </w:tc>
      </w:tr>
      <w:tr w14:paraId="32B4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482294B">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FCC95F8">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66836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143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45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查看管辖基地所有数据，支持订单导出</w:t>
            </w:r>
          </w:p>
        </w:tc>
      </w:tr>
      <w:tr w14:paraId="2FB2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E1460D8">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D8F39D2">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right w:val="single" w:color="000000" w:sz="4" w:space="0"/>
            </w:tcBorders>
            <w:shd w:val="clear" w:color="auto" w:fill="FFFFFF"/>
            <w:vAlign w:val="center"/>
          </w:tcPr>
          <w:p w14:paraId="40AE4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EB8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52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添加或查询承办机构信息，如联系人、联系电话、地址、简介等，开设账号</w:t>
            </w:r>
          </w:p>
        </w:tc>
      </w:tr>
      <w:tr w14:paraId="5793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43F2A9D">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E26F1E8">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right w:val="single" w:color="000000" w:sz="4" w:space="0"/>
            </w:tcBorders>
            <w:shd w:val="clear" w:color="auto" w:fill="FFFFFF"/>
            <w:vAlign w:val="center"/>
          </w:tcPr>
          <w:p w14:paraId="536F483B">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4F4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账号管理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EA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设置账户身份、重置密码等操作</w:t>
            </w:r>
          </w:p>
        </w:tc>
      </w:tr>
      <w:tr w14:paraId="6196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1E249865">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6ABF026">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right w:val="single" w:color="000000" w:sz="4" w:space="0"/>
            </w:tcBorders>
            <w:shd w:val="clear" w:color="auto" w:fill="FFFFFF"/>
            <w:vAlign w:val="center"/>
          </w:tcPr>
          <w:p w14:paraId="56E853E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FA4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产品审核</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0C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审批承办机构上架的产品方案，编辑、强制下架等</w:t>
            </w:r>
          </w:p>
        </w:tc>
      </w:tr>
      <w:tr w14:paraId="6913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9D87C73">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6153BC5">
            <w:pPr>
              <w:jc w:val="center"/>
              <w:rPr>
                <w:rFonts w:hint="eastAsia" w:ascii="宋体" w:hAnsi="宋体" w:eastAsia="宋体" w:cs="宋体"/>
                <w:i w:val="0"/>
                <w:iCs w:val="0"/>
                <w:color w:val="000000"/>
                <w:sz w:val="21"/>
                <w:szCs w:val="21"/>
                <w:u w:val="none"/>
              </w:rPr>
            </w:pPr>
          </w:p>
        </w:tc>
        <w:tc>
          <w:tcPr>
            <w:tcW w:w="1169" w:type="dxa"/>
            <w:gridSpan w:val="2"/>
            <w:vMerge w:val="continue"/>
            <w:tcBorders>
              <w:left w:val="single" w:color="000000" w:sz="4" w:space="0"/>
              <w:bottom w:val="single" w:color="000000" w:sz="4" w:space="0"/>
              <w:right w:val="single" w:color="000000" w:sz="4" w:space="0"/>
            </w:tcBorders>
            <w:shd w:val="clear" w:color="auto" w:fill="FFFFFF"/>
            <w:vAlign w:val="center"/>
          </w:tcPr>
          <w:p w14:paraId="654D0E5A">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B6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33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查看管辖基地所有数据，支持订单导出</w:t>
            </w:r>
          </w:p>
        </w:tc>
      </w:tr>
      <w:tr w14:paraId="65A5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17CF89C2">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3FC4CBE">
            <w:pPr>
              <w:jc w:val="center"/>
              <w:rPr>
                <w:rFonts w:hint="eastAsia" w:ascii="宋体" w:hAnsi="宋体" w:eastAsia="宋体" w:cs="宋体"/>
                <w:i w:val="0"/>
                <w:iCs w:val="0"/>
                <w:color w:val="000000"/>
                <w:sz w:val="21"/>
                <w:szCs w:val="21"/>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7B7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导师管理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E22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2B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查看进入的导师信息，如姓名、所属机构等</w:t>
            </w:r>
          </w:p>
        </w:tc>
      </w:tr>
      <w:tr w14:paraId="29BD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F7DC016">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A21FC9D">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C1B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入驻管理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2FE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审核入驻</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54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审核各角色主动入驻平台用户的申请</w:t>
            </w:r>
          </w:p>
        </w:tc>
      </w:tr>
      <w:tr w14:paraId="0CA5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C3A3979">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BE3D40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5B40F">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2A2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服务等级</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083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评审机构和研学基地服务等级，查询、添加、修改</w:t>
            </w:r>
          </w:p>
        </w:tc>
      </w:tr>
      <w:tr w14:paraId="7480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6F2D949">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DEF98DC">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38B1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36B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服务商分类</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4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为各角色进行分类，查询</w:t>
            </w:r>
          </w:p>
        </w:tc>
      </w:tr>
      <w:tr w14:paraId="4AB5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2B16C06">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77E930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550F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707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服务商分类</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B1C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各角色账号审核、编辑、重置密码等管理</w:t>
            </w:r>
          </w:p>
        </w:tc>
      </w:tr>
      <w:tr w14:paraId="2E0F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1CD29AB">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2FBDE36">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89F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9FD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研学活动</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D4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查询所有研学活动信息列表</w:t>
            </w:r>
          </w:p>
        </w:tc>
      </w:tr>
      <w:tr w14:paraId="486A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F334EFD">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6F1D6BF5">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80494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E21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订单管理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AC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查询所有研学活动交易订单列表，强制退款</w:t>
            </w:r>
          </w:p>
        </w:tc>
      </w:tr>
      <w:tr w14:paraId="6551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069B82F">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697F483C">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D747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926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备案附件配置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9C2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上传学校出行备案文件参考模板</w:t>
            </w:r>
          </w:p>
        </w:tc>
      </w:tr>
      <w:tr w14:paraId="7F88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B4E2861">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D085B1E">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FB23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8B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公示文件配置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A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上传各类公示文件，编辑、启用、删除</w:t>
            </w:r>
          </w:p>
        </w:tc>
      </w:tr>
      <w:tr w14:paraId="2541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04FB4D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A37014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2A581C">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46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学校访问记录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184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查询所有学校的访问记录</w:t>
            </w:r>
          </w:p>
        </w:tc>
      </w:tr>
      <w:tr w14:paraId="3DE8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5DEFC86">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F1A9D90">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A920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00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学校意向产品</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35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查询所有学校的意向产品列表 </w:t>
            </w:r>
          </w:p>
        </w:tc>
      </w:tr>
      <w:tr w14:paraId="69AC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B5AF2B6">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FE1EF4B">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1D4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订单管理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71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旅行订单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A21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查询所有研学交易订单列表及进度状态等</w:t>
            </w:r>
          </w:p>
        </w:tc>
      </w:tr>
      <w:tr w14:paraId="5178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E3A6443">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B7419D5">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1CE5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1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操作记录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16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查看研学活动的操作记录，如服务商、操作人、时间等</w:t>
            </w:r>
          </w:p>
        </w:tc>
      </w:tr>
      <w:tr w14:paraId="162F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6F51C38">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98BDE23">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CC9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A5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结算审批</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F7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审批承办机构提交的订单结算申请</w:t>
            </w:r>
          </w:p>
        </w:tc>
      </w:tr>
      <w:tr w14:paraId="08FF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7799674">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35C41A7">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C4A8B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F8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提现账号管理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D5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审批承办机构提交的提现账号信息</w:t>
            </w:r>
          </w:p>
        </w:tc>
      </w:tr>
      <w:tr w14:paraId="78E6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5D6FA7D">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BA058AF">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8E9C2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277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提现申请</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E7C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审批承办机构提交的资金提现申请</w:t>
            </w:r>
          </w:p>
        </w:tc>
      </w:tr>
      <w:tr w14:paraId="6B8A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A36B4E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5E54B08">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2868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FB2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支付配置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5E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设置平台收款账号，配置接口</w:t>
            </w:r>
          </w:p>
        </w:tc>
      </w:tr>
      <w:tr w14:paraId="5497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32B1FD2">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C1A870C">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C4B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校内产品管理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79A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CE6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查询产品信息，审核、编辑、强制下架、删除</w:t>
            </w:r>
          </w:p>
        </w:tc>
      </w:tr>
      <w:tr w14:paraId="376D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6F6F49D">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5BB0803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D97B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FF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标签管理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910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添加、编辑、删掉产品标签</w:t>
            </w:r>
          </w:p>
        </w:tc>
      </w:tr>
      <w:tr w14:paraId="4898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D795D74">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4BD5BAF">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E1A0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A2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类目管理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5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添加、编辑、删掉产品类目</w:t>
            </w:r>
          </w:p>
        </w:tc>
      </w:tr>
      <w:tr w14:paraId="5058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C1D7EC0">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01F81E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D466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40B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EB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添加、编辑、删掉产品分类</w:t>
            </w:r>
          </w:p>
        </w:tc>
      </w:tr>
      <w:tr w14:paraId="1831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359D224">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A6E4F6A">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6F3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校外产品管理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DCC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D64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查询产品信息，审核、编辑、强制下架、删除</w:t>
            </w:r>
          </w:p>
        </w:tc>
      </w:tr>
      <w:tr w14:paraId="1694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140799A3">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B54EA49">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D2CA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44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票种管理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9A7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查询产品票种信息，审核</w:t>
            </w:r>
          </w:p>
        </w:tc>
      </w:tr>
      <w:tr w14:paraId="1177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2CDFBC9">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E0DCBFB">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48BA8">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7C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行程管理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A1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添加、编辑、删掉产品行程</w:t>
            </w:r>
          </w:p>
        </w:tc>
      </w:tr>
      <w:tr w14:paraId="63E3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61BD320">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5A1546D">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006E2C">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2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套餐管理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ED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添加、编辑、删掉产品套餐</w:t>
            </w:r>
          </w:p>
        </w:tc>
      </w:tr>
      <w:tr w14:paraId="1E51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2B65B14">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148DBA0A">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222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41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校内研学统计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B7A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自动生成所有校内研学数据统计，定向查询</w:t>
            </w:r>
          </w:p>
        </w:tc>
      </w:tr>
      <w:tr w14:paraId="511A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5F81727">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C424EE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E124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0C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校外研学统计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3E3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自动生成所有校外研学数据统计，定向查询</w:t>
            </w:r>
          </w:p>
        </w:tc>
      </w:tr>
      <w:tr w14:paraId="478C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6B01244">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B6227F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69DEB">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61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研学统计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29D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自动生成所有校内校外研学数据统计，定向查询</w:t>
            </w:r>
          </w:p>
        </w:tc>
      </w:tr>
      <w:tr w14:paraId="3E76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066CDAC">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6C28062">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AE4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6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学生评价信息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9E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查询各角色对学生研学效果的评价信息</w:t>
            </w:r>
          </w:p>
        </w:tc>
      </w:tr>
      <w:tr w14:paraId="15C8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72F4FA8">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04D9947">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8308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27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学生评价统计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90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生成</w:t>
            </w:r>
            <w:r>
              <w:rPr>
                <w:rFonts w:hint="eastAsia" w:ascii="宋体" w:hAnsi="宋体" w:eastAsia="宋体" w:cs="宋体"/>
                <w:i w:val="0"/>
                <w:iCs w:val="0"/>
                <w:color w:val="000000"/>
                <w:kern w:val="0"/>
                <w:sz w:val="21"/>
                <w:szCs w:val="21"/>
                <w:u w:val="none"/>
                <w:lang w:val="en-US" w:eastAsia="zh-CN" w:bidi="ar"/>
              </w:rPr>
              <w:t>学生评价的统计数据，如次数、好评率、中评率、差评率等</w:t>
            </w:r>
          </w:p>
        </w:tc>
      </w:tr>
      <w:tr w14:paraId="524E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75AB228">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DE214A0">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B0A9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8F7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机构评价信息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13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查询各角色对机构服务的评价信息</w:t>
            </w:r>
          </w:p>
        </w:tc>
      </w:tr>
      <w:tr w14:paraId="4A60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FEF2C7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CB14F98">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1FF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7B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意见建议管理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0C7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查询各角色的意见建议反馈信息</w:t>
            </w:r>
          </w:p>
        </w:tc>
      </w:tr>
      <w:tr w14:paraId="0E35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E8EFDD4">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33DE4A0">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B366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374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B86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添加、修改各广告位的图文宣传内容</w:t>
            </w:r>
          </w:p>
        </w:tc>
      </w:tr>
      <w:tr w14:paraId="5C6D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5397D35">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C9E830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42BA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EF7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广告位配置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B35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添加、编辑、删除广告位的设置</w:t>
            </w:r>
          </w:p>
        </w:tc>
      </w:tr>
      <w:tr w14:paraId="1806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F433A37">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E557E2E">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B01B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B42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视频分类</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8F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设置视频分类，编辑、停用、删除</w:t>
            </w:r>
          </w:p>
        </w:tc>
      </w:tr>
      <w:tr w14:paraId="6C96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83B83BB">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E4C76B9">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C53DB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AC9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9D4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添加视频分类，编辑、审核、停用、删除</w:t>
            </w:r>
          </w:p>
        </w:tc>
      </w:tr>
      <w:tr w14:paraId="03C7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66858DD">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FACC5F1">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D5AE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B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文章分类管理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68E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添加文章分类，编辑、停用、删除</w:t>
            </w:r>
          </w:p>
        </w:tc>
      </w:tr>
      <w:tr w14:paraId="3CE8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4DEC158">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3D1FF4B">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32358">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36A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关键字过滤</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05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添加过滤关键词，支持导出模板，批量上传</w:t>
            </w:r>
          </w:p>
        </w:tc>
      </w:tr>
      <w:tr w14:paraId="720A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2173EC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57C054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ED65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37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文章信息管理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4F2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查询文章信息详情，如浏览量等，编辑、删除</w:t>
            </w:r>
          </w:p>
        </w:tc>
      </w:tr>
      <w:tr w14:paraId="1B97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E38D1FE">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604033A">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FFC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通知公告</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6E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政策文件信息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DF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添加政策文件，编辑、审核、删除</w:t>
            </w:r>
          </w:p>
        </w:tc>
      </w:tr>
      <w:tr w14:paraId="5429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02B93BF9">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02BDA8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876B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C2C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公告内容管理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52C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可添加新公告文件，查询已发布过的往期公告文件。</w:t>
            </w:r>
          </w:p>
        </w:tc>
      </w:tr>
      <w:tr w14:paraId="036C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4751703C">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D403753">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90803">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100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公告分类管理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5F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可设置公告的类别，分类管理</w:t>
            </w:r>
          </w:p>
        </w:tc>
      </w:tr>
      <w:tr w14:paraId="6CEA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4FEAE09">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6A51A7C9">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332AE">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0B1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系统消息</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89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查询系统消息，添加、编辑、删除，设置接收人</w:t>
            </w:r>
          </w:p>
        </w:tc>
      </w:tr>
      <w:tr w14:paraId="33A2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8DC454A">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2AB8BDEA">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283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系统设置</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7ED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B3A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平台管理员可对各角色审批部门操作人员设置系统权限</w:t>
            </w:r>
          </w:p>
        </w:tc>
      </w:tr>
      <w:tr w14:paraId="3B5B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BFBA9FD">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C89B9C9">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E035F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E65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部门设置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09E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可设置相关审批部门操作人员账号，新增、删除、编辑</w:t>
            </w:r>
          </w:p>
        </w:tc>
      </w:tr>
      <w:tr w14:paraId="21CF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6ADBDBF">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A5411E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EE58F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A1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权限设置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FE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可对审批部门操作人员设置系统权限</w:t>
            </w:r>
          </w:p>
        </w:tc>
      </w:tr>
      <w:tr w14:paraId="404C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C3A08B3">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3E50B8D1">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08DDF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B1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数据字典</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87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设置字典名称、编码，编辑、删掉、新增下级</w:t>
            </w:r>
          </w:p>
        </w:tc>
      </w:tr>
      <w:tr w14:paraId="64F7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8A748CC">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42743A4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D00BF">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753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系统配置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C7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设置平台介绍、用户协议、联系方式</w:t>
            </w:r>
          </w:p>
        </w:tc>
      </w:tr>
      <w:tr w14:paraId="3E69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30F8E881">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7D17F3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C437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84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菜单管理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6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查询、添加、编辑、删掉和新增下级菜单</w:t>
            </w:r>
          </w:p>
        </w:tc>
      </w:tr>
      <w:tr w14:paraId="551A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2C2C4DD8">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685A582">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128A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54D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菜单配置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0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配置政用/商用各角色权限菜单</w:t>
            </w:r>
          </w:p>
        </w:tc>
      </w:tr>
      <w:tr w14:paraId="4404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607E9737">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1EDADEB">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6B4563">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833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E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上传、分组各类图片、文件</w:t>
            </w:r>
          </w:p>
        </w:tc>
      </w:tr>
      <w:tr w14:paraId="5CC9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73078C5C">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0CF7EED1">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03D2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C1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登录日志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B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可查看各成员的登录日志</w:t>
            </w:r>
          </w:p>
        </w:tc>
      </w:tr>
      <w:tr w14:paraId="6B0D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nil"/>
              <w:left w:val="single" w:color="000000" w:sz="4" w:space="0"/>
              <w:bottom w:val="single" w:color="000000" w:sz="4" w:space="0"/>
              <w:right w:val="single" w:color="000000" w:sz="4" w:space="0"/>
            </w:tcBorders>
            <w:shd w:val="clear" w:color="auto" w:fill="FFFFFF"/>
            <w:vAlign w:val="center"/>
          </w:tcPr>
          <w:p w14:paraId="51ACF412">
            <w:pPr>
              <w:jc w:val="center"/>
              <w:rPr>
                <w:rFonts w:hint="eastAsia" w:ascii="宋体" w:hAnsi="宋体" w:eastAsia="宋体" w:cs="宋体"/>
                <w:i w:val="0"/>
                <w:iCs w:val="0"/>
                <w:color w:val="000000"/>
                <w:sz w:val="21"/>
                <w:szCs w:val="21"/>
                <w:u w:val="none"/>
              </w:rPr>
            </w:pPr>
          </w:p>
        </w:tc>
        <w:tc>
          <w:tcPr>
            <w:tcW w:w="1302" w:type="dxa"/>
            <w:vMerge w:val="continue"/>
            <w:tcBorders>
              <w:top w:val="nil"/>
              <w:left w:val="single" w:color="000000" w:sz="4" w:space="0"/>
              <w:bottom w:val="single" w:color="000000" w:sz="4" w:space="0"/>
              <w:right w:val="single" w:color="000000" w:sz="4" w:space="0"/>
            </w:tcBorders>
            <w:shd w:val="clear" w:color="auto" w:fill="FFFFFF"/>
            <w:vAlign w:val="center"/>
          </w:tcPr>
          <w:p w14:paraId="72FF46D5">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67BC5">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DBF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操作日志</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83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可查看各成员的操作记录</w:t>
            </w:r>
          </w:p>
        </w:tc>
      </w:tr>
      <w:tr w14:paraId="36FA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38F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A6D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移动端小程序（家长端）</w:t>
            </w: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596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课程查询</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35F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扫码查询</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DEF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通过报名二维码查看课程，展示课程详情、安全保障等信息</w:t>
            </w:r>
          </w:p>
        </w:tc>
      </w:tr>
      <w:tr w14:paraId="7B04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378A9">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DBA56">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CECBA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2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活动提醒</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2D2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展示待报名、待缴费、即将开始的活动，支持点击进入详情页操作</w:t>
            </w:r>
          </w:p>
        </w:tc>
      </w:tr>
      <w:tr w14:paraId="47E6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15FFA">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8D0CF">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3CD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报名缴费</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16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学生管理</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00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添加</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编辑学生信息（姓名、身份证号、学校），支持多学生管理</w:t>
            </w:r>
          </w:p>
        </w:tc>
      </w:tr>
      <w:tr w14:paraId="0D9A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B7A9D">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BEB3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4A616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F6D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订单生成</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05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选择课程与学生，确认报名信息后生成订单，支持查看订单详情</w:t>
            </w:r>
          </w:p>
        </w:tc>
      </w:tr>
      <w:tr w14:paraId="4467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56255">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E461A">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9A9D3">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B9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在线缴费</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6B4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微信支付，支付成功后生成电子缴费凭证，支持截图保存、分享</w:t>
            </w:r>
          </w:p>
        </w:tc>
      </w:tr>
      <w:tr w14:paraId="1A59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0E5F5">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25264">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091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活动查看</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8D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活动动态</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A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查看活动照片</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视频（机构上传，每次活动</w:t>
            </w:r>
            <w:r>
              <w:rPr>
                <w:rStyle w:val="12"/>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5</w:t>
            </w:r>
            <w:r>
              <w:rPr>
                <w:rStyle w:val="12"/>
                <w:rFonts w:hint="eastAsia" w:ascii="宋体" w:hAnsi="宋体" w:eastAsia="宋体" w:cs="宋体"/>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张），支持按时间排序</w:t>
            </w:r>
          </w:p>
        </w:tc>
      </w:tr>
      <w:tr w14:paraId="1010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F8330">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04D3BF">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E3B67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14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活动通知</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8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接收活动开始</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结束、天气提醒、安全提示等短信</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小程序通知</w:t>
            </w:r>
          </w:p>
        </w:tc>
      </w:tr>
      <w:tr w14:paraId="4257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E2DB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D2F7E">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05D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评价反馈</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3C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评价提交</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84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活动结束后</w:t>
            </w:r>
            <w:r>
              <w:rPr>
                <w:rStyle w:val="12"/>
                <w:rFonts w:hint="eastAsia" w:ascii="宋体" w:hAnsi="宋体" w:eastAsia="宋体" w:cs="宋体"/>
                <w:sz w:val="21"/>
                <w:szCs w:val="21"/>
                <w:lang w:val="en-US" w:eastAsia="zh-CN" w:bidi="ar"/>
              </w:rPr>
              <w:t xml:space="preserve"> 7 </w:t>
            </w:r>
            <w:r>
              <w:rPr>
                <w:rFonts w:hint="eastAsia" w:ascii="宋体" w:hAnsi="宋体" w:eastAsia="宋体" w:cs="宋体"/>
                <w:i w:val="0"/>
                <w:iCs w:val="0"/>
                <w:color w:val="000000"/>
                <w:kern w:val="0"/>
                <w:sz w:val="21"/>
                <w:szCs w:val="21"/>
                <w:u w:val="none"/>
                <w:lang w:val="en-US" w:eastAsia="zh-CN" w:bidi="ar"/>
              </w:rPr>
              <w:t>天内，对课程质量、导师服务、安全保障评分，支持文字评价</w:t>
            </w:r>
          </w:p>
        </w:tc>
      </w:tr>
      <w:tr w14:paraId="4817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FA84F">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E67F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C1521">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0E0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评价查看</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E2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查看自己提交的评价及基地</w:t>
            </w:r>
            <w:r>
              <w:rPr>
                <w:rStyle w:val="12"/>
                <w:rFonts w:hint="eastAsia" w:ascii="宋体" w:hAnsi="宋体" w:cs="宋体"/>
                <w:sz w:val="21"/>
                <w:szCs w:val="21"/>
                <w:lang w:val="en-US" w:eastAsia="zh-CN" w:bidi="ar"/>
              </w:rPr>
              <w:t>/</w:t>
            </w:r>
            <w:r>
              <w:rPr>
                <w:rStyle w:val="13"/>
                <w:rFonts w:hint="eastAsia" w:ascii="宋体" w:hAnsi="宋体" w:eastAsia="宋体" w:cs="宋体"/>
                <w:sz w:val="21"/>
                <w:szCs w:val="21"/>
                <w:lang w:val="en-US" w:eastAsia="zh-CN" w:bidi="ar"/>
              </w:rPr>
              <w:t>机构回复，支持分享评价至微信好友</w:t>
            </w:r>
          </w:p>
        </w:tc>
      </w:tr>
      <w:tr w14:paraId="4593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9D3BC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96B25">
            <w:pPr>
              <w:jc w:val="center"/>
              <w:rPr>
                <w:rFonts w:hint="eastAsia" w:ascii="宋体" w:hAnsi="宋体" w:eastAsia="宋体" w:cs="宋体"/>
                <w:i w:val="0"/>
                <w:iCs w:val="0"/>
                <w:color w:val="000000"/>
                <w:sz w:val="21"/>
                <w:szCs w:val="21"/>
                <w:u w:val="none"/>
              </w:rPr>
            </w:pP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F16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个人中心</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D7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我的订单</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8F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查看所有订单（待支付</w:t>
            </w:r>
            <w:r>
              <w:rPr>
                <w:rStyle w:val="12"/>
                <w:rFonts w:hint="eastAsia" w:ascii="宋体" w:hAnsi="宋体" w:cs="宋体"/>
                <w:sz w:val="21"/>
                <w:szCs w:val="21"/>
                <w:lang w:val="en-US" w:eastAsia="zh-CN" w:bidi="ar"/>
              </w:rPr>
              <w:t>/</w:t>
            </w:r>
            <w:r>
              <w:rPr>
                <w:rStyle w:val="13"/>
                <w:rFonts w:hint="eastAsia" w:ascii="宋体" w:hAnsi="宋体" w:eastAsia="宋体" w:cs="宋体"/>
                <w:sz w:val="21"/>
                <w:szCs w:val="21"/>
                <w:lang w:val="en-US" w:eastAsia="zh-CN" w:bidi="ar"/>
              </w:rPr>
              <w:t>已支付</w:t>
            </w:r>
            <w:r>
              <w:rPr>
                <w:rStyle w:val="12"/>
                <w:rFonts w:hint="eastAsia" w:ascii="宋体" w:hAnsi="宋体" w:cs="宋体"/>
                <w:sz w:val="21"/>
                <w:szCs w:val="21"/>
                <w:lang w:val="en-US" w:eastAsia="zh-CN" w:bidi="ar"/>
              </w:rPr>
              <w:t>/</w:t>
            </w:r>
            <w:r>
              <w:rPr>
                <w:rStyle w:val="13"/>
                <w:rFonts w:hint="eastAsia" w:ascii="宋体" w:hAnsi="宋体" w:eastAsia="宋体" w:cs="宋体"/>
                <w:sz w:val="21"/>
                <w:szCs w:val="21"/>
                <w:lang w:val="en-US" w:eastAsia="zh-CN" w:bidi="ar"/>
              </w:rPr>
              <w:t>已取消</w:t>
            </w:r>
            <w:r>
              <w:rPr>
                <w:rStyle w:val="12"/>
                <w:rFonts w:hint="eastAsia" w:ascii="宋体" w:hAnsi="宋体" w:cs="宋体"/>
                <w:sz w:val="21"/>
                <w:szCs w:val="21"/>
                <w:lang w:val="en-US" w:eastAsia="zh-CN" w:bidi="ar"/>
              </w:rPr>
              <w:t>/</w:t>
            </w:r>
            <w:r>
              <w:rPr>
                <w:rStyle w:val="13"/>
                <w:rFonts w:hint="eastAsia" w:ascii="宋体" w:hAnsi="宋体" w:eastAsia="宋体" w:cs="宋体"/>
                <w:sz w:val="21"/>
                <w:szCs w:val="21"/>
                <w:lang w:val="en-US" w:eastAsia="zh-CN" w:bidi="ar"/>
              </w:rPr>
              <w:t>已完成），支持订单详情查看、退款申请（未开始活动）</w:t>
            </w:r>
          </w:p>
        </w:tc>
      </w:tr>
      <w:tr w14:paraId="29DB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90FB7">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C5950">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0D9A2">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2C9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电子证书</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E9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查看学生参与研学活动获得的电子证书，支持下载、分享至微信朋友圈</w:t>
            </w:r>
          </w:p>
        </w:tc>
      </w:tr>
      <w:tr w14:paraId="2D54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0ED37B">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6AA48">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90EF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998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A3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包含账号安全（密码修改、手机号绑定）、消息通知（开启</w:t>
            </w:r>
            <w:r>
              <w:rPr>
                <w:rStyle w:val="12"/>
                <w:rFonts w:hint="eastAsia" w:ascii="宋体" w:hAnsi="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关闭）、帮助中心（</w:t>
            </w:r>
            <w:r>
              <w:rPr>
                <w:rStyle w:val="12"/>
                <w:rFonts w:hint="eastAsia" w:ascii="宋体" w:hAnsi="宋体" w:eastAsia="宋体" w:cs="宋体"/>
                <w:sz w:val="21"/>
                <w:szCs w:val="21"/>
                <w:lang w:val="en-US" w:eastAsia="zh-CN" w:bidi="ar"/>
              </w:rPr>
              <w:t>FAQ</w:t>
            </w:r>
            <w:r>
              <w:rPr>
                <w:rFonts w:hint="eastAsia" w:ascii="宋体" w:hAnsi="宋体" w:eastAsia="宋体" w:cs="宋体"/>
                <w:i w:val="0"/>
                <w:iCs w:val="0"/>
                <w:color w:val="000000"/>
                <w:kern w:val="0"/>
                <w:sz w:val="21"/>
                <w:szCs w:val="21"/>
                <w:u w:val="none"/>
                <w:lang w:val="en-US" w:eastAsia="zh-CN" w:bidi="ar"/>
              </w:rPr>
              <w:t>）</w:t>
            </w:r>
          </w:p>
        </w:tc>
      </w:tr>
      <w:tr w14:paraId="09F3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FE6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4B4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移动端小程序（学校端）</w:t>
            </w:r>
          </w:p>
        </w:tc>
        <w:tc>
          <w:tcPr>
            <w:tcW w:w="11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55F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报名管理</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0E7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查看进度</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06C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查看学生报名列表（班级、姓名、身份证号、缴费状态），支持</w:t>
            </w:r>
            <w:r>
              <w:rPr>
                <w:rStyle w:val="12"/>
                <w:rFonts w:hint="eastAsia" w:ascii="宋体" w:hAnsi="宋体" w:eastAsia="宋体" w:cs="宋体"/>
                <w:sz w:val="21"/>
                <w:szCs w:val="21"/>
                <w:lang w:val="en-US" w:eastAsia="zh-CN" w:bidi="ar"/>
              </w:rPr>
              <w:t xml:space="preserve"> Excel </w:t>
            </w:r>
            <w:r>
              <w:rPr>
                <w:rFonts w:hint="eastAsia" w:ascii="宋体" w:hAnsi="宋体" w:eastAsia="宋体" w:cs="宋体"/>
                <w:i w:val="0"/>
                <w:iCs w:val="0"/>
                <w:color w:val="000000"/>
                <w:kern w:val="0"/>
                <w:sz w:val="21"/>
                <w:szCs w:val="21"/>
                <w:u w:val="none"/>
                <w:lang w:val="en-US" w:eastAsia="zh-CN" w:bidi="ar"/>
              </w:rPr>
              <w:t>导出</w:t>
            </w:r>
          </w:p>
        </w:tc>
      </w:tr>
      <w:tr w14:paraId="42C0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312DF">
            <w:pPr>
              <w:jc w:val="center"/>
              <w:rPr>
                <w:rFonts w:hint="eastAsia" w:ascii="宋体" w:hAnsi="宋体" w:eastAsia="宋体" w:cs="宋体"/>
                <w:i w:val="0"/>
                <w:iCs w:val="0"/>
                <w:color w:val="000000"/>
                <w:sz w:val="21"/>
                <w:szCs w:val="21"/>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42804">
            <w:pPr>
              <w:jc w:val="center"/>
              <w:rPr>
                <w:rFonts w:hint="eastAsia" w:ascii="宋体" w:hAnsi="宋体" w:eastAsia="宋体" w:cs="宋体"/>
                <w:i w:val="0"/>
                <w:iCs w:val="0"/>
                <w:color w:val="000000"/>
                <w:sz w:val="21"/>
                <w:szCs w:val="21"/>
                <w:u w:val="none"/>
              </w:rPr>
            </w:pPr>
          </w:p>
        </w:tc>
        <w:tc>
          <w:tcPr>
            <w:tcW w:w="11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76E6C">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687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报名统计</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811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按班级</w:t>
            </w:r>
            <w:r>
              <w:rPr>
                <w:rStyle w:val="12"/>
                <w:rFonts w:hint="eastAsia" w:ascii="宋体" w:hAnsi="宋体" w:cs="宋体"/>
                <w:sz w:val="21"/>
                <w:szCs w:val="21"/>
                <w:lang w:val="en-US" w:eastAsia="zh-CN" w:bidi="ar"/>
              </w:rPr>
              <w:t>/</w:t>
            </w:r>
            <w:r>
              <w:rPr>
                <w:rStyle w:val="13"/>
                <w:rFonts w:hint="eastAsia" w:ascii="宋体" w:hAnsi="宋体" w:eastAsia="宋体" w:cs="宋体"/>
                <w:sz w:val="21"/>
                <w:szCs w:val="21"/>
                <w:lang w:val="en-US" w:eastAsia="zh-CN" w:bidi="ar"/>
              </w:rPr>
              <w:t>活动统计报名人数、缴费金额，支持生成报名报表（</w:t>
            </w:r>
            <w:r>
              <w:rPr>
                <w:rStyle w:val="12"/>
                <w:rFonts w:hint="eastAsia" w:ascii="宋体" w:hAnsi="宋体" w:eastAsia="宋体" w:cs="宋体"/>
                <w:sz w:val="21"/>
                <w:szCs w:val="21"/>
                <w:lang w:val="en-US" w:eastAsia="zh-CN" w:bidi="ar"/>
              </w:rPr>
              <w:t>Excel/PDF</w:t>
            </w:r>
            <w:r>
              <w:rPr>
                <w:rStyle w:val="13"/>
                <w:rFonts w:hint="eastAsia" w:ascii="宋体" w:hAnsi="宋体" w:eastAsia="宋体" w:cs="宋体"/>
                <w:sz w:val="21"/>
                <w:szCs w:val="21"/>
                <w:lang w:val="en-US" w:eastAsia="zh-CN" w:bidi="ar"/>
              </w:rPr>
              <w:t>）</w:t>
            </w:r>
          </w:p>
        </w:tc>
      </w:tr>
      <w:tr w14:paraId="7175D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0150" w:type="dxa"/>
            <w:gridSpan w:val="6"/>
            <w:tcBorders>
              <w:top w:val="single" w:color="auto" w:sz="4" w:space="0"/>
              <w:left w:val="single" w:color="auto" w:sz="4" w:space="0"/>
              <w:bottom w:val="single" w:color="auto" w:sz="4" w:space="0"/>
              <w:right w:val="single" w:color="auto" w:sz="4" w:space="0"/>
            </w:tcBorders>
            <w:shd w:val="clear" w:color="auto" w:fill="auto"/>
          </w:tcPr>
          <w:p w14:paraId="6146A663">
            <w:pPr>
              <w:pStyle w:val="5"/>
              <w:spacing w:line="440" w:lineRule="exact"/>
              <w:ind w:firstLine="0"/>
              <w:rPr>
                <w:rFonts w:hint="eastAsia" w:ascii="宋体" w:hAnsi="宋体" w:cs="宋体"/>
                <w:b/>
                <w:szCs w:val="21"/>
              </w:rPr>
            </w:pPr>
            <w:r>
              <w:rPr>
                <w:rFonts w:hint="eastAsia"/>
                <w:b/>
                <w:bCs/>
                <w:lang w:val="en-US" w:eastAsia="zh-CN"/>
              </w:rPr>
              <w:t>二、</w:t>
            </w:r>
            <w:r>
              <w:rPr>
                <w:rFonts w:hint="eastAsia"/>
                <w:b/>
                <w:bCs/>
              </w:rPr>
              <w:t>技术维护</w:t>
            </w:r>
          </w:p>
        </w:tc>
      </w:tr>
      <w:tr w14:paraId="5B0FD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50" w:type="dxa"/>
            <w:gridSpan w:val="6"/>
            <w:tcBorders>
              <w:top w:val="single" w:color="auto" w:sz="4" w:space="0"/>
              <w:left w:val="single" w:color="auto" w:sz="4" w:space="0"/>
              <w:bottom w:val="single" w:color="auto" w:sz="4" w:space="0"/>
              <w:right w:val="single" w:color="auto" w:sz="4" w:space="0"/>
            </w:tcBorders>
            <w:shd w:val="clear" w:color="auto" w:fill="auto"/>
          </w:tcPr>
          <w:p w14:paraId="44F3503B">
            <w:pPr>
              <w:pStyle w:val="5"/>
              <w:spacing w:line="440" w:lineRule="exact"/>
              <w:ind w:firstLine="0"/>
              <w:rPr>
                <w:rFonts w:hint="eastAsia"/>
              </w:rPr>
            </w:pPr>
            <w:r>
              <w:rPr>
                <w:rFonts w:hint="eastAsia"/>
              </w:rPr>
              <w:t>1、日常维护：平台系统服务器完成日常备份、异常进程处理、每季度最后一天重启、做好防病毒、防幕改等日常维护操作，做好系统巡检、缺陷管理及应急保障服务，确保系统安全、稳定运行；</w:t>
            </w:r>
          </w:p>
          <w:p w14:paraId="6CC1E36C">
            <w:pPr>
              <w:pStyle w:val="5"/>
              <w:spacing w:line="440" w:lineRule="exact"/>
              <w:ind w:firstLine="0"/>
              <w:rPr>
                <w:rFonts w:hint="eastAsia"/>
              </w:rPr>
            </w:pPr>
            <w:r>
              <w:rPr>
                <w:rFonts w:hint="eastAsia"/>
              </w:rPr>
              <w:t>2、系统巡检：(1)日常巡检：按照巡检方案开展系统巡检，每天不少于1次；(2)特巡特维：重大活动、会议、工作检查等特殊时期按采购人要求执行特别巡视和维护；</w:t>
            </w:r>
          </w:p>
          <w:p w14:paraId="3D9674BD">
            <w:pPr>
              <w:pStyle w:val="5"/>
              <w:spacing w:line="440" w:lineRule="exact"/>
              <w:ind w:firstLine="0"/>
              <w:rPr>
                <w:rFonts w:hint="eastAsia"/>
              </w:rPr>
            </w:pPr>
            <w:r>
              <w:rPr>
                <w:rFonts w:hint="eastAsia"/>
              </w:rPr>
              <w:t>3、系统缺陷管理：每月一次开展系统缺陷（含安全隐患）分析，针对系统缺陷（含安全隐患）进行系统优化完善，定期对系统升级程序补丁；</w:t>
            </w:r>
          </w:p>
          <w:p w14:paraId="2C3E03E2">
            <w:pPr>
              <w:pStyle w:val="5"/>
              <w:spacing w:line="440" w:lineRule="exact"/>
              <w:ind w:firstLine="0"/>
              <w:rPr>
                <w:rFonts w:hint="eastAsia"/>
              </w:rPr>
            </w:pPr>
            <w:r>
              <w:rPr>
                <w:rFonts w:hint="eastAsia"/>
              </w:rPr>
              <w:t>4、系统数据安全管理：每周一次开展日常数据安全审计，及时发现并处理非授权访问、批量复制或转移数据等违规行为，并形成数据安全审计报告，确保学校及学生数据信息保密及安全。</w:t>
            </w:r>
          </w:p>
          <w:p w14:paraId="33D00897">
            <w:pPr>
              <w:jc w:val="left"/>
              <w:rPr>
                <w:rFonts w:hint="eastAsia" w:ascii="宋体" w:hAnsi="宋体" w:cs="宋体"/>
                <w:b/>
                <w:szCs w:val="21"/>
              </w:rPr>
            </w:pPr>
          </w:p>
        </w:tc>
      </w:tr>
      <w:tr w14:paraId="360E0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50" w:type="dxa"/>
            <w:gridSpan w:val="6"/>
            <w:tcBorders>
              <w:top w:val="single" w:color="auto" w:sz="4" w:space="0"/>
              <w:left w:val="single" w:color="auto" w:sz="4" w:space="0"/>
              <w:bottom w:val="single" w:color="auto" w:sz="4" w:space="0"/>
              <w:right w:val="single" w:color="auto" w:sz="4" w:space="0"/>
            </w:tcBorders>
            <w:shd w:val="clear" w:color="auto" w:fill="auto"/>
          </w:tcPr>
          <w:p w14:paraId="0134CE7B">
            <w:pPr>
              <w:pStyle w:val="5"/>
              <w:spacing w:line="440" w:lineRule="exact"/>
              <w:ind w:firstLine="0"/>
              <w:rPr>
                <w:rFonts w:hint="eastAsia" w:ascii="宋体" w:hAnsi="宋体" w:cs="宋体"/>
                <w:b/>
                <w:szCs w:val="21"/>
              </w:rPr>
            </w:pPr>
            <w:r>
              <w:rPr>
                <w:rFonts w:hint="eastAsia"/>
                <w:b/>
                <w:bCs/>
                <w:lang w:val="en-US" w:eastAsia="zh-CN"/>
              </w:rPr>
              <w:t>二</w:t>
            </w:r>
            <w:r>
              <w:rPr>
                <w:rFonts w:hint="eastAsia"/>
                <w:b/>
                <w:bCs/>
                <w:lang w:eastAsia="zh-CN"/>
              </w:rPr>
              <w:t>、</w:t>
            </w:r>
            <w:r>
              <w:rPr>
                <w:rFonts w:hint="eastAsia"/>
                <w:b/>
                <w:bCs/>
              </w:rPr>
              <w:t>常态化运营</w:t>
            </w:r>
          </w:p>
        </w:tc>
      </w:tr>
      <w:tr w14:paraId="5DF6B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0150" w:type="dxa"/>
            <w:gridSpan w:val="6"/>
            <w:tcBorders>
              <w:top w:val="single" w:color="auto" w:sz="4" w:space="0"/>
              <w:left w:val="single" w:color="auto" w:sz="4" w:space="0"/>
              <w:bottom w:val="single" w:color="auto" w:sz="4" w:space="0"/>
              <w:right w:val="single" w:color="auto" w:sz="4" w:space="0"/>
            </w:tcBorders>
            <w:shd w:val="clear" w:color="auto" w:fill="auto"/>
          </w:tcPr>
          <w:p w14:paraId="4220E0F8">
            <w:pPr>
              <w:pStyle w:val="5"/>
              <w:spacing w:line="440" w:lineRule="exact"/>
              <w:ind w:firstLine="0"/>
              <w:rPr>
                <w:rFonts w:hint="eastAsia"/>
              </w:rPr>
            </w:pPr>
            <w:r>
              <w:rPr>
                <w:rFonts w:hint="eastAsia"/>
              </w:rPr>
              <w:t>（一）基础运营</w:t>
            </w:r>
          </w:p>
          <w:p w14:paraId="2BA3F7EA">
            <w:pPr>
              <w:pStyle w:val="5"/>
              <w:spacing w:line="440" w:lineRule="exact"/>
              <w:ind w:firstLine="0"/>
              <w:rPr>
                <w:rFonts w:hint="eastAsia"/>
              </w:rPr>
            </w:pPr>
            <w:r>
              <w:rPr>
                <w:rFonts w:hint="eastAsia"/>
              </w:rPr>
              <w:t>公共信息、服务咨讯进行动态更新；资讯内容更新及维护、每月更新展示图片、并进行美工处理及优化；</w:t>
            </w:r>
          </w:p>
          <w:p w14:paraId="65BF607B">
            <w:pPr>
              <w:pStyle w:val="5"/>
              <w:spacing w:line="440" w:lineRule="exact"/>
              <w:ind w:firstLine="0"/>
              <w:rPr>
                <w:rFonts w:hint="eastAsia"/>
              </w:rPr>
            </w:pPr>
            <w:r>
              <w:rPr>
                <w:rFonts w:hint="eastAsia"/>
              </w:rPr>
              <w:t>（二）服务运营</w:t>
            </w:r>
          </w:p>
          <w:p w14:paraId="29E535E2">
            <w:pPr>
              <w:pStyle w:val="5"/>
              <w:spacing w:line="440" w:lineRule="exact"/>
              <w:ind w:firstLine="0"/>
              <w:rPr>
                <w:rFonts w:hint="eastAsia"/>
              </w:rPr>
            </w:pPr>
            <w:r>
              <w:rPr>
                <w:rFonts w:hint="eastAsia"/>
                <w:lang w:val="en-US" w:eastAsia="zh-CN"/>
              </w:rPr>
              <w:t>1、</w:t>
            </w:r>
            <w:r>
              <w:rPr>
                <w:rFonts w:hint="eastAsia"/>
              </w:rPr>
              <w:t>资源和数据录入：</w:t>
            </w:r>
          </w:p>
          <w:p w14:paraId="0E7237D4">
            <w:pPr>
              <w:pStyle w:val="5"/>
              <w:spacing w:line="440" w:lineRule="exact"/>
              <w:ind w:firstLine="0"/>
              <w:rPr>
                <w:rFonts w:hint="eastAsia"/>
              </w:rPr>
            </w:pPr>
            <w:r>
              <w:rPr>
                <w:rFonts w:hint="eastAsia"/>
                <w:lang w:eastAsia="zh-CN"/>
              </w:rPr>
              <w:t>（</w:t>
            </w:r>
            <w:r>
              <w:rPr>
                <w:rFonts w:hint="eastAsia"/>
                <w:lang w:val="en-US" w:eastAsia="zh-CN"/>
              </w:rPr>
              <w:t>1</w:t>
            </w:r>
            <w:r>
              <w:rPr>
                <w:rFonts w:hint="eastAsia"/>
                <w:lang w:eastAsia="zh-CN"/>
              </w:rPr>
              <w:t>）</w:t>
            </w:r>
            <w:r>
              <w:rPr>
                <w:rFonts w:hint="eastAsia"/>
                <w:lang w:val="en-US" w:eastAsia="zh-CN"/>
              </w:rPr>
              <w:t>岳阳</w:t>
            </w:r>
            <w:r>
              <w:rPr>
                <w:rFonts w:hint="eastAsia"/>
              </w:rPr>
              <w:t>市教育局直属中小学学校录入；</w:t>
            </w:r>
          </w:p>
          <w:p w14:paraId="700175F2">
            <w:pPr>
              <w:pStyle w:val="5"/>
              <w:spacing w:line="440" w:lineRule="exact"/>
              <w:ind w:firstLine="0"/>
              <w:rPr>
                <w:rFonts w:hint="eastAsia"/>
              </w:rPr>
            </w:pPr>
            <w:r>
              <w:rPr>
                <w:rFonts w:hint="eastAsia"/>
                <w:lang w:eastAsia="zh-CN"/>
              </w:rPr>
              <w:t>（</w:t>
            </w:r>
            <w:r>
              <w:rPr>
                <w:rFonts w:hint="eastAsia"/>
                <w:lang w:val="en-US" w:eastAsia="zh-CN"/>
              </w:rPr>
              <w:t>2</w:t>
            </w:r>
            <w:r>
              <w:rPr>
                <w:rFonts w:hint="eastAsia"/>
                <w:lang w:eastAsia="zh-CN"/>
              </w:rPr>
              <w:t>）</w:t>
            </w:r>
            <w:r>
              <w:rPr>
                <w:rFonts w:hint="eastAsia"/>
              </w:rPr>
              <w:t>通过审批的研学基地录入；</w:t>
            </w:r>
          </w:p>
          <w:p w14:paraId="0110004F">
            <w:pPr>
              <w:pStyle w:val="5"/>
              <w:spacing w:line="440" w:lineRule="exact"/>
              <w:ind w:firstLine="0"/>
              <w:rPr>
                <w:rFonts w:hint="eastAsia"/>
              </w:rPr>
            </w:pPr>
            <w:r>
              <w:rPr>
                <w:rFonts w:hint="eastAsia"/>
                <w:lang w:eastAsia="zh-CN"/>
              </w:rPr>
              <w:t>（</w:t>
            </w:r>
            <w:r>
              <w:rPr>
                <w:rFonts w:hint="eastAsia"/>
                <w:lang w:val="en-US" w:eastAsia="zh-CN"/>
              </w:rPr>
              <w:t>3</w:t>
            </w:r>
            <w:r>
              <w:rPr>
                <w:rFonts w:hint="eastAsia"/>
                <w:lang w:eastAsia="zh-CN"/>
              </w:rPr>
              <w:t>）</w:t>
            </w:r>
            <w:r>
              <w:rPr>
                <w:rFonts w:hint="eastAsia"/>
              </w:rPr>
              <w:t>通过审批的劳动基地录入；</w:t>
            </w:r>
          </w:p>
          <w:p w14:paraId="57A56DB5">
            <w:pPr>
              <w:pStyle w:val="5"/>
              <w:spacing w:line="440" w:lineRule="exact"/>
              <w:ind w:firstLine="0"/>
              <w:rPr>
                <w:rFonts w:hint="eastAsia"/>
              </w:rPr>
            </w:pPr>
            <w:r>
              <w:rPr>
                <w:rFonts w:hint="eastAsia"/>
                <w:lang w:eastAsia="zh-CN"/>
              </w:rPr>
              <w:t>（</w:t>
            </w:r>
            <w:r>
              <w:rPr>
                <w:rFonts w:hint="eastAsia"/>
                <w:lang w:val="en-US" w:eastAsia="zh-CN"/>
              </w:rPr>
              <w:t>4</w:t>
            </w:r>
            <w:r>
              <w:rPr>
                <w:rFonts w:hint="eastAsia"/>
                <w:lang w:eastAsia="zh-CN"/>
              </w:rPr>
              <w:t>）</w:t>
            </w:r>
            <w:r>
              <w:rPr>
                <w:rFonts w:hint="eastAsia"/>
              </w:rPr>
              <w:t>经审批的研学承办机构的入驻；</w:t>
            </w:r>
          </w:p>
          <w:p w14:paraId="7B56B043">
            <w:pPr>
              <w:pStyle w:val="5"/>
              <w:spacing w:line="440" w:lineRule="exact"/>
              <w:ind w:firstLine="0"/>
              <w:rPr>
                <w:rFonts w:hint="eastAsia"/>
              </w:rPr>
            </w:pPr>
            <w:r>
              <w:rPr>
                <w:rFonts w:hint="eastAsia"/>
                <w:lang w:eastAsia="zh-CN"/>
              </w:rPr>
              <w:t>（</w:t>
            </w:r>
            <w:r>
              <w:rPr>
                <w:rFonts w:hint="eastAsia"/>
                <w:lang w:val="en-US" w:eastAsia="zh-CN"/>
              </w:rPr>
              <w:t>5</w:t>
            </w:r>
            <w:r>
              <w:rPr>
                <w:rFonts w:hint="eastAsia"/>
                <w:lang w:eastAsia="zh-CN"/>
              </w:rPr>
              <w:t>）</w:t>
            </w:r>
            <w:r>
              <w:rPr>
                <w:rFonts w:hint="eastAsia"/>
              </w:rPr>
              <w:t>经审批的研学交通企业入驻；</w:t>
            </w:r>
          </w:p>
          <w:p w14:paraId="3F608F3D">
            <w:pPr>
              <w:pStyle w:val="5"/>
              <w:spacing w:line="440" w:lineRule="exact"/>
              <w:ind w:firstLine="0"/>
              <w:rPr>
                <w:rFonts w:hint="eastAsia"/>
              </w:rPr>
            </w:pPr>
            <w:r>
              <w:rPr>
                <w:rFonts w:hint="eastAsia"/>
                <w:lang w:eastAsia="zh-CN"/>
              </w:rPr>
              <w:t>（</w:t>
            </w:r>
            <w:r>
              <w:rPr>
                <w:rFonts w:hint="eastAsia"/>
                <w:lang w:val="en-US" w:eastAsia="zh-CN"/>
              </w:rPr>
              <w:t>6</w:t>
            </w:r>
            <w:r>
              <w:rPr>
                <w:rFonts w:hint="eastAsia"/>
                <w:lang w:eastAsia="zh-CN"/>
              </w:rPr>
              <w:t>）</w:t>
            </w:r>
            <w:r>
              <w:rPr>
                <w:rFonts w:hint="eastAsia"/>
              </w:rPr>
              <w:t>经审批的研学出行保险企业入驻；</w:t>
            </w:r>
          </w:p>
          <w:p w14:paraId="763D5EDD">
            <w:pPr>
              <w:pStyle w:val="5"/>
              <w:spacing w:line="440" w:lineRule="exact"/>
              <w:ind w:firstLine="0"/>
              <w:rPr>
                <w:rFonts w:hint="eastAsia"/>
              </w:rPr>
            </w:pPr>
            <w:r>
              <w:rPr>
                <w:rFonts w:hint="eastAsia"/>
                <w:lang w:eastAsia="zh-CN"/>
              </w:rPr>
              <w:t>（</w:t>
            </w:r>
            <w:r>
              <w:rPr>
                <w:rFonts w:hint="eastAsia"/>
                <w:lang w:val="en-US" w:eastAsia="zh-CN"/>
              </w:rPr>
              <w:t>7</w:t>
            </w:r>
            <w:r>
              <w:rPr>
                <w:rFonts w:hint="eastAsia"/>
                <w:lang w:eastAsia="zh-CN"/>
              </w:rPr>
              <w:t>）</w:t>
            </w:r>
            <w:r>
              <w:rPr>
                <w:rFonts w:hint="eastAsia"/>
              </w:rPr>
              <w:t>基地课程相套的研学教具供应商信息入驻。</w:t>
            </w:r>
          </w:p>
          <w:p w14:paraId="13AF573C">
            <w:pPr>
              <w:pStyle w:val="5"/>
              <w:spacing w:line="440" w:lineRule="exact"/>
              <w:ind w:firstLine="0"/>
              <w:rPr>
                <w:rFonts w:hint="eastAsia"/>
              </w:rPr>
            </w:pPr>
            <w:r>
              <w:rPr>
                <w:rFonts w:hint="eastAsia"/>
                <w:lang w:val="en-US" w:eastAsia="zh-CN"/>
              </w:rPr>
              <w:t>2、</w:t>
            </w:r>
            <w:r>
              <w:rPr>
                <w:rFonts w:hint="eastAsia"/>
              </w:rPr>
              <w:t>用户培训工作：</w:t>
            </w:r>
          </w:p>
          <w:p w14:paraId="77B2B263">
            <w:pPr>
              <w:pStyle w:val="5"/>
              <w:spacing w:line="440" w:lineRule="exact"/>
              <w:ind w:firstLine="0"/>
              <w:rPr>
                <w:rFonts w:hint="eastAsia"/>
              </w:rPr>
            </w:pPr>
            <w:r>
              <w:rPr>
                <w:rFonts w:hint="eastAsia"/>
                <w:lang w:eastAsia="zh-CN"/>
              </w:rPr>
              <w:t>（</w:t>
            </w:r>
            <w:r>
              <w:rPr>
                <w:rFonts w:hint="eastAsia"/>
                <w:lang w:val="en-US" w:eastAsia="zh-CN"/>
              </w:rPr>
              <w:t>1</w:t>
            </w:r>
            <w:r>
              <w:rPr>
                <w:rFonts w:hint="eastAsia"/>
                <w:lang w:eastAsia="zh-CN"/>
              </w:rPr>
              <w:t>）</w:t>
            </w:r>
            <w:r>
              <w:rPr>
                <w:rFonts w:hint="eastAsia"/>
              </w:rPr>
              <w:t>小程序系统使用</w:t>
            </w:r>
            <w:r>
              <w:rPr>
                <w:rFonts w:hint="eastAsia"/>
                <w:lang w:val="en-US" w:eastAsia="zh-CN"/>
              </w:rPr>
              <w:t>操作指南及组织</w:t>
            </w:r>
            <w:r>
              <w:rPr>
                <w:rFonts w:hint="eastAsia"/>
              </w:rPr>
              <w:t>培训；</w:t>
            </w:r>
          </w:p>
          <w:p w14:paraId="41688759">
            <w:pPr>
              <w:pStyle w:val="5"/>
              <w:spacing w:line="440" w:lineRule="exact"/>
              <w:ind w:firstLine="0"/>
              <w:rPr>
                <w:rFonts w:hint="eastAsia"/>
              </w:rPr>
            </w:pPr>
            <w:r>
              <w:rPr>
                <w:rFonts w:hint="eastAsia"/>
                <w:lang w:eastAsia="zh-CN"/>
              </w:rPr>
              <w:t>（</w:t>
            </w:r>
            <w:r>
              <w:rPr>
                <w:rFonts w:hint="eastAsia"/>
                <w:lang w:val="en-US" w:eastAsia="zh-CN"/>
              </w:rPr>
              <w:t>2</w:t>
            </w:r>
            <w:r>
              <w:rPr>
                <w:rFonts w:hint="eastAsia"/>
                <w:lang w:eastAsia="zh-CN"/>
              </w:rPr>
              <w:t>）</w:t>
            </w:r>
            <w:r>
              <w:rPr>
                <w:rFonts w:hint="eastAsia"/>
              </w:rPr>
              <w:t>研学申报及备案各部门线上审批流程培训；</w:t>
            </w:r>
          </w:p>
          <w:p w14:paraId="757D2708">
            <w:pPr>
              <w:pStyle w:val="5"/>
              <w:spacing w:line="440" w:lineRule="exact"/>
              <w:ind w:firstLine="0"/>
              <w:rPr>
                <w:rFonts w:hint="eastAsia"/>
              </w:rPr>
            </w:pPr>
            <w:r>
              <w:rPr>
                <w:rFonts w:hint="eastAsia"/>
                <w:lang w:eastAsia="zh-CN"/>
              </w:rPr>
              <w:t>（</w:t>
            </w:r>
            <w:r>
              <w:rPr>
                <w:rFonts w:hint="eastAsia"/>
                <w:lang w:val="en-US" w:eastAsia="zh-CN"/>
              </w:rPr>
              <w:t>3</w:t>
            </w:r>
            <w:r>
              <w:rPr>
                <w:rFonts w:hint="eastAsia"/>
                <w:lang w:eastAsia="zh-CN"/>
              </w:rPr>
              <w:t>）</w:t>
            </w:r>
            <w:r>
              <w:rPr>
                <w:rFonts w:hint="eastAsia"/>
              </w:rPr>
              <w:t>研学基地系统使用培训。</w:t>
            </w:r>
          </w:p>
          <w:p w14:paraId="2BD0CE01">
            <w:pPr>
              <w:pStyle w:val="5"/>
              <w:spacing w:line="440" w:lineRule="exact"/>
              <w:ind w:firstLine="0"/>
              <w:rPr>
                <w:rFonts w:hint="eastAsia"/>
              </w:rPr>
            </w:pPr>
            <w:r>
              <w:rPr>
                <w:rFonts w:hint="eastAsia"/>
              </w:rPr>
              <w:t>（三）内容运营</w:t>
            </w:r>
          </w:p>
          <w:p w14:paraId="77384A6D">
            <w:pPr>
              <w:pStyle w:val="5"/>
              <w:spacing w:line="440" w:lineRule="exact"/>
              <w:ind w:firstLine="0"/>
              <w:rPr>
                <w:rFonts w:hint="eastAsia"/>
              </w:rPr>
            </w:pPr>
            <w:r>
              <w:rPr>
                <w:rFonts w:hint="eastAsia"/>
              </w:rPr>
              <w:t>1、基地课程产品上架不少于60款；</w:t>
            </w:r>
          </w:p>
          <w:p w14:paraId="06375A02">
            <w:pPr>
              <w:pStyle w:val="5"/>
              <w:spacing w:line="440" w:lineRule="exact"/>
              <w:ind w:firstLine="0"/>
              <w:rPr>
                <w:rFonts w:hint="eastAsia"/>
              </w:rPr>
            </w:pPr>
            <w:r>
              <w:rPr>
                <w:rFonts w:hint="eastAsia"/>
              </w:rPr>
              <w:t>2、研学交通产品上架；</w:t>
            </w:r>
          </w:p>
          <w:p w14:paraId="3C28AD3C">
            <w:pPr>
              <w:pStyle w:val="5"/>
              <w:spacing w:line="440" w:lineRule="exact"/>
              <w:ind w:firstLine="0"/>
              <w:rPr>
                <w:rFonts w:hint="eastAsia"/>
              </w:rPr>
            </w:pPr>
            <w:r>
              <w:rPr>
                <w:rFonts w:hint="eastAsia"/>
              </w:rPr>
              <w:t>3、研学出行保险产品上架；</w:t>
            </w:r>
          </w:p>
          <w:p w14:paraId="42EF83E3">
            <w:pPr>
              <w:pStyle w:val="5"/>
              <w:spacing w:line="440" w:lineRule="exact"/>
              <w:ind w:firstLine="0"/>
              <w:rPr>
                <w:rFonts w:hint="eastAsia"/>
              </w:rPr>
            </w:pPr>
            <w:r>
              <w:rPr>
                <w:rFonts w:hint="eastAsia"/>
              </w:rPr>
              <w:t>4、研学教具产品上架、库存跟踪、及时更新；</w:t>
            </w:r>
          </w:p>
          <w:p w14:paraId="7D68F7EA">
            <w:pPr>
              <w:pStyle w:val="5"/>
              <w:spacing w:line="440" w:lineRule="exact"/>
              <w:ind w:firstLine="0"/>
              <w:rPr>
                <w:rFonts w:hint="eastAsia"/>
              </w:rPr>
            </w:pPr>
            <w:r>
              <w:rPr>
                <w:rFonts w:hint="eastAsia"/>
              </w:rPr>
              <w:t>5、研学成果发布。</w:t>
            </w:r>
          </w:p>
          <w:p w14:paraId="7EB2B3CA">
            <w:pPr>
              <w:pStyle w:val="5"/>
              <w:spacing w:line="440" w:lineRule="exact"/>
              <w:ind w:firstLine="0"/>
              <w:rPr>
                <w:rFonts w:hint="eastAsia"/>
              </w:rPr>
            </w:pPr>
            <w:r>
              <w:rPr>
                <w:rFonts w:hint="eastAsia"/>
              </w:rPr>
              <w:t>（四）客服运营</w:t>
            </w:r>
          </w:p>
          <w:p w14:paraId="2D85A93A">
            <w:pPr>
              <w:jc w:val="left"/>
              <w:rPr>
                <w:rFonts w:hint="eastAsia" w:ascii="宋体" w:hAnsi="宋体" w:cs="宋体"/>
                <w:b/>
                <w:szCs w:val="21"/>
              </w:rPr>
            </w:pPr>
            <w:r>
              <w:rPr>
                <w:rFonts w:hint="eastAsia"/>
                <w:lang w:val="en-US" w:eastAsia="zh-CN"/>
              </w:rPr>
              <w:t>至少</w:t>
            </w:r>
            <w:r>
              <w:rPr>
                <w:rFonts w:hint="eastAsia"/>
              </w:rPr>
              <w:t>安排人工客服人员</w:t>
            </w:r>
            <w:r>
              <w:rPr>
                <w:rFonts w:hint="eastAsia"/>
                <w:lang w:val="en-US" w:eastAsia="zh-CN"/>
              </w:rPr>
              <w:t>3</w:t>
            </w:r>
            <w:r>
              <w:rPr>
                <w:rFonts w:hint="eastAsia"/>
              </w:rPr>
              <w:t>人以上，日常运营工作及24小时内处理用户留言、投诉、评论，监测功能稳定性。</w:t>
            </w:r>
          </w:p>
        </w:tc>
      </w:tr>
      <w:tr w14:paraId="6BD6D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0150" w:type="dxa"/>
            <w:gridSpan w:val="6"/>
            <w:tcBorders>
              <w:top w:val="single" w:color="auto" w:sz="4" w:space="0"/>
              <w:left w:val="single" w:color="auto" w:sz="4" w:space="0"/>
              <w:bottom w:val="single" w:color="auto" w:sz="4" w:space="0"/>
              <w:right w:val="single" w:color="auto" w:sz="4" w:space="0"/>
            </w:tcBorders>
            <w:shd w:val="clear" w:color="auto" w:fill="auto"/>
          </w:tcPr>
          <w:p w14:paraId="202533C1">
            <w:pPr>
              <w:jc w:val="left"/>
              <w:rPr>
                <w:rFonts w:ascii="宋体" w:hAnsi="宋体" w:cs="宋体"/>
                <w:szCs w:val="21"/>
              </w:rPr>
            </w:pPr>
            <w:r>
              <w:rPr>
                <w:rFonts w:hint="eastAsia" w:ascii="宋体" w:hAnsi="宋体" w:cs="宋体"/>
                <w:b/>
                <w:szCs w:val="21"/>
                <w:lang w:val="en-US" w:eastAsia="zh-CN"/>
              </w:rPr>
              <w:t>三</w:t>
            </w:r>
            <w:r>
              <w:rPr>
                <w:rFonts w:hint="eastAsia" w:ascii="宋体" w:hAnsi="宋体" w:cs="宋体"/>
                <w:b/>
                <w:szCs w:val="21"/>
              </w:rPr>
              <w:t>、商务条款</w:t>
            </w:r>
          </w:p>
        </w:tc>
      </w:tr>
      <w:tr w14:paraId="6973B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31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3C4A2F">
            <w:pPr>
              <w:spacing w:line="440" w:lineRule="exact"/>
              <w:jc w:val="left"/>
              <w:rPr>
                <w:rFonts w:ascii="宋体" w:hAnsi="宋体" w:cs="仿宋"/>
                <w:bCs/>
                <w:szCs w:val="21"/>
              </w:rPr>
            </w:pPr>
            <w:r>
              <w:rPr>
                <w:rFonts w:hint="eastAsia" w:ascii="宋体" w:hAnsi="宋体" w:cs="仿宋"/>
                <w:bCs/>
                <w:kern w:val="0"/>
                <w:szCs w:val="21"/>
              </w:rPr>
              <w:t>需执行的国家相关标准、行业标准、地方标准或者其他标准、规范</w:t>
            </w:r>
          </w:p>
        </w:tc>
        <w:tc>
          <w:tcPr>
            <w:tcW w:w="70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B40E49">
            <w:pPr>
              <w:spacing w:line="440" w:lineRule="exact"/>
              <w:jc w:val="left"/>
              <w:rPr>
                <w:rFonts w:ascii="宋体" w:hAnsi="宋体" w:cs="仿宋"/>
                <w:szCs w:val="21"/>
              </w:rPr>
            </w:pPr>
            <w:r>
              <w:rPr>
                <w:rFonts w:hint="eastAsia" w:ascii="宋体" w:hAnsi="宋体" w:cs="仿宋"/>
                <w:bCs/>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58176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3127" w:type="dxa"/>
            <w:gridSpan w:val="3"/>
            <w:tcBorders>
              <w:top w:val="single" w:color="auto" w:sz="4" w:space="0"/>
              <w:bottom w:val="single" w:color="auto" w:sz="4" w:space="0"/>
              <w:right w:val="single" w:color="auto" w:sz="4" w:space="0"/>
            </w:tcBorders>
            <w:shd w:val="clear" w:color="auto" w:fill="auto"/>
            <w:vAlign w:val="center"/>
          </w:tcPr>
          <w:p w14:paraId="1C887530">
            <w:pPr>
              <w:spacing w:line="440" w:lineRule="exact"/>
              <w:jc w:val="center"/>
              <w:rPr>
                <w:rFonts w:ascii="宋体" w:hAnsi="宋体" w:cs="仿宋"/>
                <w:szCs w:val="21"/>
              </w:rPr>
            </w:pPr>
            <w:r>
              <w:rPr>
                <w:rFonts w:hint="eastAsia" w:ascii="宋体" w:hAnsi="宋体" w:cs="仿宋"/>
                <w:szCs w:val="21"/>
              </w:rPr>
              <w:t>服务时间和地点</w:t>
            </w:r>
          </w:p>
        </w:tc>
        <w:tc>
          <w:tcPr>
            <w:tcW w:w="7023" w:type="dxa"/>
            <w:gridSpan w:val="3"/>
            <w:tcBorders>
              <w:top w:val="single" w:color="auto" w:sz="4" w:space="0"/>
              <w:left w:val="single" w:color="auto" w:sz="4" w:space="0"/>
              <w:bottom w:val="single" w:color="auto" w:sz="4" w:space="0"/>
            </w:tcBorders>
            <w:shd w:val="clear" w:color="auto" w:fill="auto"/>
            <w:vAlign w:val="center"/>
          </w:tcPr>
          <w:p w14:paraId="72E59BEE">
            <w:pPr>
              <w:spacing w:line="440" w:lineRule="exact"/>
              <w:rPr>
                <w:rFonts w:ascii="宋体" w:hAnsi="宋体" w:cs="仿宋"/>
                <w:color w:val="FF0000"/>
                <w:szCs w:val="21"/>
              </w:rPr>
            </w:pPr>
            <w:r>
              <w:rPr>
                <w:rFonts w:hint="eastAsia" w:ascii="宋体" w:hAnsi="宋体" w:cs="仿宋"/>
                <w:szCs w:val="21"/>
              </w:rPr>
              <w:t>1.服务时间：</w:t>
            </w:r>
            <w:r>
              <w:rPr>
                <w:rFonts w:hint="eastAsia" w:ascii="宋体" w:hAnsi="宋体" w:cs="仿宋"/>
                <w:color w:val="FF0000"/>
                <w:szCs w:val="21"/>
                <w:lang w:val="en-US" w:eastAsia="zh-CN"/>
              </w:rPr>
              <w:t>3年</w:t>
            </w:r>
            <w:r>
              <w:rPr>
                <w:rFonts w:hint="eastAsia" w:ascii="宋体" w:hAnsi="宋体" w:cs="仿宋"/>
                <w:color w:val="FF0000"/>
                <w:szCs w:val="21"/>
              </w:rPr>
              <w:t>，自202</w:t>
            </w:r>
            <w:r>
              <w:rPr>
                <w:rFonts w:hint="eastAsia" w:ascii="宋体" w:hAnsi="宋体" w:cs="仿宋"/>
                <w:color w:val="FF0000"/>
                <w:szCs w:val="21"/>
                <w:lang w:val="en-US" w:eastAsia="zh-CN"/>
              </w:rPr>
              <w:t>5</w:t>
            </w:r>
            <w:r>
              <w:rPr>
                <w:rFonts w:hint="eastAsia" w:ascii="宋体" w:hAnsi="宋体" w:cs="仿宋"/>
                <w:color w:val="FF0000"/>
                <w:szCs w:val="21"/>
              </w:rPr>
              <w:t>年</w:t>
            </w:r>
            <w:r>
              <w:rPr>
                <w:rFonts w:hint="eastAsia" w:ascii="宋体" w:hAnsi="宋体" w:cs="仿宋"/>
                <w:color w:val="FF0000"/>
                <w:szCs w:val="21"/>
                <w:lang w:val="en-US" w:eastAsia="zh-CN"/>
              </w:rPr>
              <w:t>6</w:t>
            </w:r>
            <w:r>
              <w:rPr>
                <w:rFonts w:hint="eastAsia" w:ascii="宋体" w:hAnsi="宋体" w:cs="仿宋"/>
                <w:color w:val="FF0000"/>
                <w:szCs w:val="21"/>
              </w:rPr>
              <w:t>月起至202</w:t>
            </w:r>
            <w:r>
              <w:rPr>
                <w:rFonts w:hint="eastAsia" w:ascii="宋体" w:hAnsi="宋体" w:cs="仿宋"/>
                <w:color w:val="FF0000"/>
                <w:szCs w:val="21"/>
                <w:lang w:val="en-US" w:eastAsia="zh-CN"/>
              </w:rPr>
              <w:t>8</w:t>
            </w:r>
            <w:r>
              <w:rPr>
                <w:rFonts w:hint="eastAsia" w:ascii="宋体" w:hAnsi="宋体" w:cs="仿宋"/>
                <w:color w:val="FF0000"/>
                <w:szCs w:val="21"/>
              </w:rPr>
              <w:t>年</w:t>
            </w:r>
            <w:r>
              <w:rPr>
                <w:rFonts w:hint="eastAsia" w:ascii="宋体" w:hAnsi="宋体" w:cs="仿宋"/>
                <w:color w:val="FF0000"/>
                <w:szCs w:val="21"/>
                <w:lang w:val="en-US" w:eastAsia="zh-CN"/>
              </w:rPr>
              <w:t>6</w:t>
            </w:r>
            <w:r>
              <w:rPr>
                <w:rFonts w:hint="eastAsia" w:ascii="宋体" w:hAnsi="宋体" w:cs="仿宋"/>
                <w:color w:val="FF0000"/>
                <w:szCs w:val="21"/>
              </w:rPr>
              <w:t>月，</w:t>
            </w:r>
            <w:r>
              <w:rPr>
                <w:rFonts w:hint="eastAsia" w:ascii="仿宋_GB2312" w:hAnsi="仿宋_GB2312" w:eastAsia="仿宋_GB2312" w:cs="仿宋_GB2312"/>
                <w:color w:val="FF0000"/>
                <w:szCs w:val="21"/>
              </w:rPr>
              <w:t>（具体起始时间由采购人指定）</w:t>
            </w:r>
            <w:r>
              <w:rPr>
                <w:rFonts w:hint="eastAsia" w:ascii="宋体" w:hAnsi="宋体" w:cs="仿宋"/>
                <w:color w:val="FF0000"/>
                <w:szCs w:val="21"/>
              </w:rPr>
              <w:t>。</w:t>
            </w:r>
          </w:p>
          <w:p w14:paraId="7BC87703">
            <w:pPr>
              <w:spacing w:line="440" w:lineRule="exact"/>
              <w:rPr>
                <w:rFonts w:ascii="宋体" w:hAnsi="宋体" w:cs="仿宋"/>
                <w:szCs w:val="21"/>
              </w:rPr>
            </w:pPr>
            <w:r>
              <w:rPr>
                <w:rFonts w:hint="eastAsia" w:ascii="宋体" w:hAnsi="宋体" w:cs="仿宋"/>
                <w:szCs w:val="21"/>
              </w:rPr>
              <w:t>2.服务地点：</w:t>
            </w:r>
            <w:r>
              <w:rPr>
                <w:rFonts w:hint="eastAsia" w:ascii="宋体" w:hAnsi="宋体" w:cs="仿宋"/>
                <w:color w:val="FF0000"/>
                <w:szCs w:val="21"/>
              </w:rPr>
              <w:t>内采购人指定地点</w:t>
            </w:r>
            <w:r>
              <w:rPr>
                <w:rFonts w:hint="eastAsia" w:ascii="宋体" w:hAnsi="宋体" w:cs="仿宋"/>
                <w:szCs w:val="21"/>
              </w:rPr>
              <w:t>。</w:t>
            </w:r>
          </w:p>
        </w:tc>
      </w:tr>
    </w:tbl>
    <w:p w14:paraId="79667E45"/>
    <w:p w14:paraId="548DC5D2"/>
    <w:p w14:paraId="2C866D46">
      <w:r>
        <w:br w:type="page"/>
      </w:r>
    </w:p>
    <w:p w14:paraId="5873D407">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textAlignment w:val="auto"/>
        <w:outlineLvl w:val="1"/>
        <w:rPr>
          <w:rFonts w:ascii="宋体" w:hAnsi="宋体" w:cs="宋体"/>
          <w:b w:val="0"/>
          <w:bCs w:val="0"/>
        </w:rPr>
      </w:pPr>
      <w:r>
        <w:rPr>
          <w:rFonts w:hint="eastAsia" w:ascii="宋体" w:hAnsi="宋体" w:cs="宋体"/>
          <w:b w:val="0"/>
          <w:bCs w:val="0"/>
        </w:rPr>
        <w:t>8.评审标准</w:t>
      </w:r>
    </w:p>
    <w:p w14:paraId="06B0D5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ascii="宋体" w:hAnsi="宋体" w:cs="宋体"/>
          <w:szCs w:val="21"/>
        </w:rPr>
      </w:pPr>
      <w:r>
        <w:rPr>
          <w:rFonts w:hint="eastAsia" w:ascii="宋体" w:hAnsi="宋体" w:cs="宋体"/>
          <w:szCs w:val="21"/>
        </w:rPr>
        <w:t>8.1评审依据：磋商小组将以磋商响应文件为评审依据，对供应商的报价、技术、商务等方面内容按百分制打分。（计分方法按四舍五入取至百分位）</w:t>
      </w:r>
    </w:p>
    <w:p w14:paraId="0E68DC02">
      <w:pPr>
        <w:spacing w:line="360" w:lineRule="auto"/>
        <w:ind w:firstLine="420" w:firstLineChars="200"/>
        <w:rPr>
          <w:rFonts w:hint="eastAsia" w:ascii="宋体" w:hAnsi="宋体" w:cs="宋体"/>
          <w:bCs/>
          <w:szCs w:val="21"/>
        </w:rPr>
      </w:pPr>
      <w:r>
        <w:rPr>
          <w:rFonts w:hint="eastAsia" w:ascii="宋体" w:hAnsi="宋体" w:cs="宋体"/>
          <w:bCs/>
          <w:szCs w:val="21"/>
        </w:rPr>
        <w:t>总得分=1+2+3</w:t>
      </w:r>
    </w:p>
    <w:p w14:paraId="6A5493F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default" w:ascii="宋体" w:hAnsi="宋体" w:eastAsia="宋体" w:cs="宋体"/>
          <w:b/>
          <w:bCs/>
          <w:szCs w:val="21"/>
          <w:lang w:val="en-US" w:eastAsia="zh-CN"/>
        </w:rPr>
      </w:pPr>
      <w:r>
        <w:rPr>
          <w:rFonts w:hint="eastAsia" w:ascii="宋体" w:hAnsi="宋体" w:eastAsia="宋体" w:cs="宋体"/>
          <w:b/>
          <w:bCs/>
          <w:szCs w:val="21"/>
          <w:lang w:val="en-US" w:eastAsia="zh-CN"/>
        </w:rPr>
        <w:t>8.1.1  商务部分（35分）</w:t>
      </w:r>
    </w:p>
    <w:tbl>
      <w:tblPr>
        <w:tblStyle w:val="9"/>
        <w:tblW w:w="9495"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37"/>
        <w:gridCol w:w="6371"/>
        <w:gridCol w:w="833"/>
      </w:tblGrid>
      <w:tr w14:paraId="56F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54" w:type="dxa"/>
            <w:vAlign w:val="center"/>
          </w:tcPr>
          <w:p w14:paraId="72F8ECDA">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1637" w:type="dxa"/>
            <w:vAlign w:val="center"/>
          </w:tcPr>
          <w:p w14:paraId="27049EA3">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评审类型</w:t>
            </w:r>
          </w:p>
        </w:tc>
        <w:tc>
          <w:tcPr>
            <w:tcW w:w="6371" w:type="dxa"/>
            <w:vAlign w:val="center"/>
          </w:tcPr>
          <w:p w14:paraId="17B4D118">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评审标准</w:t>
            </w:r>
          </w:p>
        </w:tc>
        <w:tc>
          <w:tcPr>
            <w:tcW w:w="833" w:type="dxa"/>
            <w:vAlign w:val="center"/>
          </w:tcPr>
          <w:p w14:paraId="6446E3D6">
            <w:pPr>
              <w:spacing w:line="360" w:lineRule="auto"/>
              <w:rPr>
                <w:rFonts w:hint="eastAsia" w:ascii="宋体" w:hAnsi="宋体" w:eastAsia="宋体" w:cs="宋体"/>
                <w:b/>
                <w:bCs/>
                <w:szCs w:val="21"/>
              </w:rPr>
            </w:pPr>
            <w:r>
              <w:rPr>
                <w:rFonts w:hint="eastAsia" w:ascii="宋体" w:hAnsi="宋体" w:eastAsia="宋体" w:cs="宋体"/>
                <w:b/>
                <w:bCs/>
                <w:szCs w:val="21"/>
              </w:rPr>
              <w:t>分值</w:t>
            </w:r>
          </w:p>
        </w:tc>
      </w:tr>
      <w:tr w14:paraId="5E3F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4" w:type="dxa"/>
            <w:vAlign w:val="center"/>
          </w:tcPr>
          <w:p w14:paraId="1612B52A">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637" w:type="dxa"/>
            <w:vAlign w:val="center"/>
          </w:tcPr>
          <w:p w14:paraId="3B349190">
            <w:pPr>
              <w:pStyle w:val="17"/>
              <w:numPr>
                <w:ilvl w:val="0"/>
                <w:numId w:val="0"/>
              </w:numPr>
              <w:spacing w:before="6" w:line="238" w:lineRule="auto"/>
              <w:ind w:right="158" w:rightChars="0"/>
              <w:rPr>
                <w:rFonts w:hint="eastAsia" w:ascii="宋体" w:hAnsi="宋体" w:eastAsia="宋体" w:cs="宋体"/>
                <w:b/>
                <w:bCs/>
                <w:spacing w:val="8"/>
                <w:sz w:val="21"/>
                <w:szCs w:val="21"/>
                <w:highlight w:val="none"/>
                <w:lang w:val="en-US" w:eastAsia="zh-CN"/>
              </w:rPr>
            </w:pPr>
            <w:r>
              <w:rPr>
                <w:rFonts w:hint="eastAsia" w:ascii="宋体" w:hAnsi="宋体" w:eastAsia="宋体" w:cs="宋体"/>
                <w:b/>
                <w:bCs/>
                <w:spacing w:val="8"/>
                <w:sz w:val="21"/>
                <w:szCs w:val="21"/>
                <w:highlight w:val="none"/>
                <w:lang w:val="en-US" w:eastAsia="zh-CN"/>
              </w:rPr>
              <w:t>投标人信誉</w:t>
            </w:r>
          </w:p>
        </w:tc>
        <w:tc>
          <w:tcPr>
            <w:tcW w:w="6371" w:type="dxa"/>
            <w:vAlign w:val="center"/>
          </w:tcPr>
          <w:p w14:paraId="506CF0FD">
            <w:pPr>
              <w:pStyle w:val="17"/>
              <w:numPr>
                <w:ilvl w:val="0"/>
                <w:numId w:val="0"/>
              </w:numPr>
              <w:spacing w:before="6" w:line="238" w:lineRule="auto"/>
              <w:ind w:right="158" w:rightChars="0"/>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1、投标人获得“重合同守信用信誉企业”称号的计1分；</w:t>
            </w:r>
          </w:p>
          <w:p w14:paraId="28D248CE">
            <w:pPr>
              <w:pStyle w:val="17"/>
              <w:numPr>
                <w:ilvl w:val="0"/>
                <w:numId w:val="0"/>
              </w:numPr>
              <w:spacing w:before="6" w:line="238" w:lineRule="auto"/>
              <w:ind w:right="158" w:rightChars="0"/>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2、投标人获得“纳税信用评价A级”的计2分。</w:t>
            </w:r>
          </w:p>
          <w:p w14:paraId="7D26E615">
            <w:pPr>
              <w:pStyle w:val="17"/>
              <w:numPr>
                <w:ilvl w:val="0"/>
                <w:numId w:val="0"/>
              </w:numPr>
              <w:spacing w:before="6" w:line="238" w:lineRule="auto"/>
              <w:ind w:right="158" w:rightChars="0"/>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须提供证书复印件并加盖投标人公章，否则不计分。</w:t>
            </w:r>
          </w:p>
        </w:tc>
        <w:tc>
          <w:tcPr>
            <w:tcW w:w="833" w:type="dxa"/>
            <w:vAlign w:val="center"/>
          </w:tcPr>
          <w:p w14:paraId="1F63164C">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3分</w:t>
            </w:r>
          </w:p>
        </w:tc>
      </w:tr>
      <w:tr w14:paraId="7438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654" w:type="dxa"/>
            <w:vAlign w:val="center"/>
          </w:tcPr>
          <w:p w14:paraId="332134E9">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1637" w:type="dxa"/>
            <w:vAlign w:val="center"/>
          </w:tcPr>
          <w:p w14:paraId="14BFC859">
            <w:pPr>
              <w:pStyle w:val="17"/>
              <w:numPr>
                <w:ilvl w:val="0"/>
                <w:numId w:val="0"/>
              </w:numPr>
              <w:spacing w:before="6" w:line="238" w:lineRule="auto"/>
              <w:ind w:right="158" w:rightChars="0"/>
              <w:rPr>
                <w:rFonts w:hint="eastAsia" w:ascii="宋体" w:hAnsi="宋体" w:eastAsia="宋体" w:cs="宋体"/>
                <w:b/>
                <w:bCs/>
                <w:spacing w:val="8"/>
                <w:sz w:val="21"/>
                <w:szCs w:val="21"/>
                <w:highlight w:val="none"/>
                <w:lang w:val="en-US" w:eastAsia="zh-CN"/>
              </w:rPr>
            </w:pPr>
            <w:r>
              <w:rPr>
                <w:rFonts w:hint="eastAsia" w:ascii="宋体" w:hAnsi="宋体" w:eastAsia="宋体" w:cs="宋体"/>
                <w:b/>
                <w:bCs/>
                <w:spacing w:val="8"/>
                <w:sz w:val="21"/>
                <w:szCs w:val="21"/>
                <w:highlight w:val="none"/>
                <w:lang w:val="en-US" w:eastAsia="zh-CN"/>
              </w:rPr>
              <w:t>投标人综合实力</w:t>
            </w:r>
          </w:p>
        </w:tc>
        <w:tc>
          <w:tcPr>
            <w:tcW w:w="6371" w:type="dxa"/>
            <w:vAlign w:val="top"/>
          </w:tcPr>
          <w:p w14:paraId="360DBAD3">
            <w:pPr>
              <w:pStyle w:val="17"/>
              <w:numPr>
                <w:ilvl w:val="0"/>
                <w:numId w:val="0"/>
              </w:numPr>
              <w:spacing w:before="6" w:line="238" w:lineRule="auto"/>
              <w:ind w:right="158" w:rightChars="0"/>
              <w:rPr>
                <w:rFonts w:hint="default" w:ascii="宋体" w:hAnsi="宋体" w:eastAsia="宋体" w:cs="宋体"/>
                <w:spacing w:val="8"/>
                <w:sz w:val="21"/>
                <w:szCs w:val="21"/>
                <w:highlight w:val="none"/>
                <w:lang w:val="en-US" w:eastAsia="zh-CN"/>
              </w:rPr>
            </w:pPr>
            <w:r>
              <w:rPr>
                <w:rFonts w:hint="default" w:ascii="宋体" w:hAnsi="宋体" w:eastAsia="宋体" w:cs="宋体"/>
                <w:spacing w:val="8"/>
                <w:sz w:val="21"/>
                <w:szCs w:val="21"/>
                <w:highlight w:val="none"/>
                <w:lang w:val="en-US" w:eastAsia="zh-CN"/>
              </w:rPr>
              <w:t>投标人具备有效期内的以下证书:</w:t>
            </w:r>
          </w:p>
          <w:p w14:paraId="2023DE44">
            <w:pPr>
              <w:pStyle w:val="17"/>
              <w:numPr>
                <w:ilvl w:val="0"/>
                <w:numId w:val="0"/>
              </w:numPr>
              <w:spacing w:before="6" w:line="238" w:lineRule="auto"/>
              <w:ind w:right="158" w:rightChars="0"/>
              <w:rPr>
                <w:rFonts w:hint="default" w:ascii="宋体" w:hAnsi="宋体" w:eastAsia="宋体" w:cs="宋体"/>
                <w:spacing w:val="8"/>
                <w:sz w:val="21"/>
                <w:szCs w:val="21"/>
                <w:highlight w:val="none"/>
                <w:lang w:val="en-US" w:eastAsia="zh-CN"/>
              </w:rPr>
            </w:pPr>
            <w:r>
              <w:rPr>
                <w:rFonts w:hint="default" w:ascii="宋体" w:hAnsi="宋体" w:eastAsia="宋体" w:cs="宋体"/>
                <w:spacing w:val="8"/>
                <w:sz w:val="21"/>
                <w:szCs w:val="21"/>
                <w:highlight w:val="none"/>
                <w:lang w:val="en-US" w:eastAsia="zh-CN"/>
              </w:rPr>
              <w:t>1、具有GB/T19001-2016或IS09001:2015标准的质量管理体系认证书；</w:t>
            </w:r>
          </w:p>
          <w:p w14:paraId="2CB4D7FF">
            <w:pPr>
              <w:pStyle w:val="17"/>
              <w:numPr>
                <w:ilvl w:val="0"/>
                <w:numId w:val="0"/>
              </w:numPr>
              <w:spacing w:before="6" w:line="238" w:lineRule="auto"/>
              <w:ind w:right="158" w:rightChars="0"/>
              <w:rPr>
                <w:rFonts w:hint="default" w:ascii="宋体" w:hAnsi="宋体" w:eastAsia="宋体" w:cs="宋体"/>
                <w:spacing w:val="8"/>
                <w:sz w:val="21"/>
                <w:szCs w:val="21"/>
                <w:highlight w:val="none"/>
                <w:lang w:val="en-US" w:eastAsia="zh-CN"/>
              </w:rPr>
            </w:pPr>
            <w:r>
              <w:rPr>
                <w:rFonts w:hint="default" w:ascii="宋体" w:hAnsi="宋体" w:eastAsia="宋体" w:cs="宋体"/>
                <w:spacing w:val="8"/>
                <w:sz w:val="21"/>
                <w:szCs w:val="21"/>
                <w:highlight w:val="none"/>
                <w:lang w:val="en-US" w:eastAsia="zh-CN"/>
              </w:rPr>
              <w:t>2、具有CS信息系统建设和服务能力等级证书；</w:t>
            </w:r>
          </w:p>
          <w:p w14:paraId="058453B2">
            <w:pPr>
              <w:pStyle w:val="17"/>
              <w:numPr>
                <w:ilvl w:val="0"/>
                <w:numId w:val="0"/>
              </w:numPr>
              <w:spacing w:before="6" w:line="238" w:lineRule="auto"/>
              <w:ind w:right="158" w:rightChars="0"/>
              <w:rPr>
                <w:rFonts w:hint="default" w:ascii="宋体" w:hAnsi="宋体" w:eastAsia="宋体" w:cs="宋体"/>
                <w:spacing w:val="8"/>
                <w:sz w:val="21"/>
                <w:szCs w:val="21"/>
                <w:highlight w:val="none"/>
                <w:lang w:val="en-US" w:eastAsia="zh-CN"/>
              </w:rPr>
            </w:pPr>
            <w:r>
              <w:rPr>
                <w:rFonts w:hint="default" w:ascii="宋体" w:hAnsi="宋体" w:eastAsia="宋体" w:cs="宋体"/>
                <w:spacing w:val="8"/>
                <w:sz w:val="21"/>
                <w:szCs w:val="21"/>
                <w:highlight w:val="none"/>
                <w:lang w:val="en-US" w:eastAsia="zh-CN"/>
              </w:rPr>
              <w:t>投标证书每满足一项得2分，2项全部满足可得4分，该项满分4分。同时应提供证书复印件并加盖投标供应商公章。</w:t>
            </w:r>
          </w:p>
          <w:p w14:paraId="19391FC4">
            <w:pPr>
              <w:pStyle w:val="17"/>
              <w:numPr>
                <w:ilvl w:val="0"/>
                <w:numId w:val="0"/>
              </w:numPr>
              <w:spacing w:before="6" w:line="238" w:lineRule="auto"/>
              <w:ind w:right="158" w:rightChars="0"/>
              <w:rPr>
                <w:rFonts w:hint="default" w:ascii="宋体" w:hAnsi="宋体" w:eastAsia="宋体" w:cs="宋体"/>
                <w:spacing w:val="8"/>
                <w:sz w:val="21"/>
                <w:szCs w:val="21"/>
                <w:highlight w:val="none"/>
                <w:lang w:val="en-US" w:eastAsia="zh-CN"/>
              </w:rPr>
            </w:pPr>
            <w:r>
              <w:rPr>
                <w:rFonts w:hint="default" w:ascii="宋体" w:hAnsi="宋体" w:eastAsia="宋体" w:cs="宋体"/>
                <w:spacing w:val="8"/>
                <w:sz w:val="21"/>
                <w:szCs w:val="21"/>
                <w:highlight w:val="none"/>
                <w:lang w:val="en-US" w:eastAsia="zh-CN"/>
              </w:rPr>
              <w:t>3、持研学指导师证的在职研学导师3人以上得1.5分，5个以上得3分。（近三个月的社保证明缴纳记录复印件，并加盖投标人公章）</w:t>
            </w:r>
          </w:p>
          <w:p w14:paraId="696779F3">
            <w:pPr>
              <w:pStyle w:val="17"/>
              <w:numPr>
                <w:ilvl w:val="0"/>
                <w:numId w:val="0"/>
              </w:numPr>
              <w:spacing w:before="6" w:line="238" w:lineRule="auto"/>
              <w:ind w:right="158" w:rightChars="0"/>
              <w:rPr>
                <w:rFonts w:hint="default" w:ascii="宋体" w:hAnsi="宋体" w:eastAsia="宋体" w:cs="宋体"/>
                <w:spacing w:val="8"/>
                <w:sz w:val="21"/>
                <w:szCs w:val="21"/>
                <w:highlight w:val="none"/>
                <w:lang w:val="en-US" w:eastAsia="zh-CN"/>
              </w:rPr>
            </w:pPr>
            <w:r>
              <w:rPr>
                <w:rFonts w:hint="default" w:ascii="宋体" w:hAnsi="宋体" w:eastAsia="宋体" w:cs="宋体"/>
                <w:spacing w:val="8"/>
                <w:sz w:val="21"/>
                <w:szCs w:val="21"/>
                <w:highlight w:val="none"/>
                <w:lang w:val="en-US" w:eastAsia="zh-CN"/>
              </w:rPr>
              <w:t>4、团队具备课程研发的能力，提供课程案例含小学、初中、高中研学课程，课程、教案、研学手册完整得2分，有课程但完整度不足的，酌情扣减得分。</w:t>
            </w:r>
          </w:p>
        </w:tc>
        <w:tc>
          <w:tcPr>
            <w:tcW w:w="833" w:type="dxa"/>
            <w:vAlign w:val="center"/>
          </w:tcPr>
          <w:p w14:paraId="131BD18A">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9分</w:t>
            </w:r>
          </w:p>
        </w:tc>
      </w:tr>
      <w:tr w14:paraId="47CA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54" w:type="dxa"/>
            <w:vAlign w:val="center"/>
          </w:tcPr>
          <w:p w14:paraId="02B1C7BE">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1.3</w:t>
            </w:r>
          </w:p>
        </w:tc>
        <w:tc>
          <w:tcPr>
            <w:tcW w:w="1637" w:type="dxa"/>
            <w:vAlign w:val="center"/>
          </w:tcPr>
          <w:p w14:paraId="7C6EC71C">
            <w:pPr>
              <w:pStyle w:val="17"/>
              <w:numPr>
                <w:ilvl w:val="0"/>
                <w:numId w:val="0"/>
              </w:numPr>
              <w:spacing w:before="6" w:line="238" w:lineRule="auto"/>
              <w:ind w:right="158" w:rightChars="0"/>
              <w:rPr>
                <w:rFonts w:hint="eastAsia" w:ascii="宋体" w:hAnsi="宋体" w:eastAsia="宋体" w:cs="宋体"/>
                <w:b/>
                <w:bCs/>
                <w:spacing w:val="8"/>
                <w:sz w:val="21"/>
                <w:szCs w:val="21"/>
                <w:highlight w:val="none"/>
                <w:lang w:val="en-US" w:eastAsia="zh-CN"/>
              </w:rPr>
            </w:pPr>
            <w:r>
              <w:rPr>
                <w:rFonts w:hint="eastAsia" w:ascii="宋体" w:hAnsi="宋体" w:eastAsia="宋体" w:cs="宋体"/>
                <w:b/>
                <w:bCs/>
                <w:spacing w:val="8"/>
                <w:sz w:val="21"/>
                <w:szCs w:val="21"/>
                <w:highlight w:val="none"/>
                <w:lang w:val="en-US" w:eastAsia="zh-CN"/>
              </w:rPr>
              <w:t>投标人项目业绩</w:t>
            </w:r>
          </w:p>
        </w:tc>
        <w:tc>
          <w:tcPr>
            <w:tcW w:w="6371" w:type="dxa"/>
            <w:vAlign w:val="top"/>
          </w:tcPr>
          <w:p w14:paraId="533439A9">
            <w:pPr>
              <w:pStyle w:val="17"/>
              <w:numPr>
                <w:ilvl w:val="0"/>
                <w:numId w:val="0"/>
              </w:numPr>
              <w:spacing w:before="6" w:line="238" w:lineRule="auto"/>
              <w:ind w:right="158" w:rightChars="0"/>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投标人自2021年1月1日（至投标截止日，含起止日期，以合同签订落款最终时间为准）组织实施过以下类型项目的，【注：须提供真实的项目合同或成交（中标）通知书证明材料】</w:t>
            </w:r>
          </w:p>
          <w:p w14:paraId="4FED334D">
            <w:pPr>
              <w:pStyle w:val="17"/>
              <w:numPr>
                <w:ilvl w:val="0"/>
                <w:numId w:val="0"/>
              </w:numPr>
              <w:spacing w:before="6" w:line="238" w:lineRule="auto"/>
              <w:ind w:right="158" w:rightChars="0"/>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1、教育类/文旅类平台运维和运营案例，每个案例业绩得2分，满分6分；</w:t>
            </w:r>
          </w:p>
          <w:p w14:paraId="15E0B0BA">
            <w:pPr>
              <w:pStyle w:val="17"/>
              <w:numPr>
                <w:ilvl w:val="0"/>
                <w:numId w:val="0"/>
              </w:numPr>
              <w:spacing w:before="6" w:line="238" w:lineRule="auto"/>
              <w:ind w:right="158" w:rightChars="0"/>
              <w:rPr>
                <w:rFonts w:hint="default"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2、研学基地运营/打造案例，每个案例得1分，满分3分；</w:t>
            </w:r>
          </w:p>
          <w:p w14:paraId="69F05313">
            <w:pPr>
              <w:pStyle w:val="17"/>
              <w:numPr>
                <w:ilvl w:val="0"/>
                <w:numId w:val="0"/>
              </w:numPr>
              <w:spacing w:before="6" w:line="238" w:lineRule="auto"/>
              <w:ind w:right="158" w:rightChars="0"/>
              <w:rPr>
                <w:rFonts w:hint="default"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3、投标人所提供平台落地中小学生研学出行活动管理案例，满分3分。1万人以下不得分，1-3万人次得1分，3万人以上得2分。【注：需提供相关案例截图】</w:t>
            </w:r>
          </w:p>
        </w:tc>
        <w:tc>
          <w:tcPr>
            <w:tcW w:w="833" w:type="dxa"/>
            <w:vAlign w:val="center"/>
          </w:tcPr>
          <w:p w14:paraId="09E3B758">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11分</w:t>
            </w:r>
          </w:p>
        </w:tc>
      </w:tr>
      <w:tr w14:paraId="0B40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654" w:type="dxa"/>
            <w:vAlign w:val="center"/>
          </w:tcPr>
          <w:p w14:paraId="7C4770A9">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1637" w:type="dxa"/>
            <w:vAlign w:val="center"/>
          </w:tcPr>
          <w:p w14:paraId="11ECFED9">
            <w:pPr>
              <w:spacing w:line="360" w:lineRule="auto"/>
              <w:rPr>
                <w:rFonts w:hint="eastAsia" w:ascii="宋体" w:hAnsi="宋体" w:eastAsia="宋体" w:cs="宋体"/>
                <w:b/>
                <w:bCs/>
                <w:szCs w:val="21"/>
              </w:rPr>
            </w:pPr>
            <w:r>
              <w:rPr>
                <w:rFonts w:hint="eastAsia" w:ascii="宋体" w:hAnsi="宋体" w:eastAsia="宋体" w:cs="宋体"/>
                <w:b/>
                <w:bCs/>
                <w:szCs w:val="21"/>
                <w:lang w:val="en-US" w:eastAsia="zh-CN"/>
              </w:rPr>
              <w:t xml:space="preserve">投标人团队要求 </w:t>
            </w:r>
          </w:p>
        </w:tc>
        <w:tc>
          <w:tcPr>
            <w:tcW w:w="6371" w:type="dxa"/>
            <w:vAlign w:val="top"/>
          </w:tcPr>
          <w:p w14:paraId="22736F3B">
            <w:pPr>
              <w:pStyle w:val="17"/>
              <w:numPr>
                <w:ilvl w:val="0"/>
                <w:numId w:val="0"/>
              </w:numPr>
              <w:spacing w:before="6" w:line="238" w:lineRule="auto"/>
              <w:ind w:right="158" w:rightChars="0"/>
              <w:rPr>
                <w:rFonts w:hint="default" w:ascii="宋体" w:hAnsi="宋体" w:eastAsia="宋体" w:cs="宋体"/>
                <w:szCs w:val="21"/>
                <w:lang w:val="en-US"/>
              </w:rPr>
            </w:pPr>
            <w:r>
              <w:rPr>
                <w:rFonts w:hint="eastAsia" w:ascii="宋体" w:hAnsi="宋体" w:eastAsia="宋体" w:cs="宋体"/>
                <w:spacing w:val="8"/>
                <w:sz w:val="21"/>
                <w:szCs w:val="21"/>
                <w:highlight w:val="none"/>
                <w:lang w:val="en-US" w:eastAsia="zh-CN"/>
              </w:rPr>
              <w:t>为高效推进智慧教育大平台建设、运维与运营工作，确保项目顺利实施并持续优化：</w:t>
            </w:r>
            <w:r>
              <w:rPr>
                <w:rFonts w:hint="eastAsia" w:ascii="宋体" w:hAnsi="宋体" w:eastAsia="宋体" w:cs="宋体"/>
                <w:spacing w:val="8"/>
                <w:sz w:val="21"/>
                <w:szCs w:val="21"/>
                <w:highlight w:val="none"/>
                <w:lang w:val="en-US" w:eastAsia="zh-CN"/>
              </w:rPr>
              <w:br w:type="textWrapping"/>
            </w:r>
            <w:r>
              <w:rPr>
                <w:rFonts w:hint="eastAsia" w:ascii="宋体" w:hAnsi="宋体" w:eastAsia="宋体" w:cs="宋体"/>
                <w:spacing w:val="8"/>
                <w:sz w:val="21"/>
                <w:szCs w:val="21"/>
                <w:highlight w:val="none"/>
                <w:lang w:val="en-US" w:eastAsia="zh-CN"/>
              </w:rPr>
              <w:t>1、平台部署及交付阶段，投标人承诺常驻本地化技术服务及开发团队：团队成员涵盖系统架构师、软件开发工程师、数据库工程师等相关专业技术人员，具备丰富的智慧教育平台部署及开发经验的，每具1个计1分，此项总计3分；(提供在投标人近三个月的社保证明缴纳记录复印件，并加盖投标人公章。未提供的不计分）</w:t>
            </w:r>
            <w:r>
              <w:rPr>
                <w:rFonts w:hint="eastAsia" w:ascii="宋体" w:hAnsi="宋体" w:eastAsia="宋体" w:cs="宋体"/>
                <w:spacing w:val="8"/>
                <w:sz w:val="21"/>
                <w:szCs w:val="21"/>
                <w:highlight w:val="none"/>
                <w:lang w:val="en-US" w:eastAsia="zh-CN"/>
              </w:rPr>
              <w:br w:type="textWrapping"/>
            </w:r>
            <w:r>
              <w:rPr>
                <w:rFonts w:hint="eastAsia" w:ascii="宋体" w:hAnsi="宋体" w:eastAsia="宋体" w:cs="宋体"/>
                <w:spacing w:val="8"/>
                <w:sz w:val="21"/>
                <w:szCs w:val="21"/>
                <w:highlight w:val="none"/>
                <w:lang w:val="en-US" w:eastAsia="zh-CN"/>
              </w:rPr>
              <w:t>2、平台正式上线运行，投标人承诺常驻本地化技术服务团队：团队成员涵盖软件开发、数据库管理等相关专业技术人员，每具1个计1分，此项总计4分；</w:t>
            </w:r>
            <w:r>
              <w:rPr>
                <w:rFonts w:hint="eastAsia" w:ascii="宋体" w:hAnsi="宋体" w:eastAsia="宋体" w:cs="宋体"/>
                <w:spacing w:val="8"/>
                <w:sz w:val="21"/>
                <w:szCs w:val="21"/>
                <w:highlight w:val="none"/>
                <w:lang w:val="en-US" w:eastAsia="zh-CN"/>
              </w:rPr>
              <w:br w:type="textWrapping"/>
            </w:r>
            <w:r>
              <w:rPr>
                <w:rFonts w:hint="eastAsia" w:ascii="宋体" w:hAnsi="宋体" w:eastAsia="宋体" w:cs="宋体"/>
                <w:spacing w:val="8"/>
                <w:sz w:val="21"/>
                <w:szCs w:val="21"/>
                <w:highlight w:val="none"/>
                <w:lang w:val="en-US" w:eastAsia="zh-CN"/>
              </w:rPr>
              <w:t>3、为高质高效开展智慧教育运营工作，投标人承诺常驻岳阳地区专业教研教学及运营支撑服务团队，具3人的计3分，每增加1个计1分，此项总计5分。</w:t>
            </w:r>
          </w:p>
        </w:tc>
        <w:tc>
          <w:tcPr>
            <w:tcW w:w="833" w:type="dxa"/>
            <w:vAlign w:val="center"/>
          </w:tcPr>
          <w:p w14:paraId="6FD0CB1B">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12分</w:t>
            </w:r>
          </w:p>
        </w:tc>
      </w:tr>
    </w:tbl>
    <w:p w14:paraId="4E1081D2">
      <w:pPr>
        <w:pStyle w:val="7"/>
        <w:spacing w:line="360" w:lineRule="exact"/>
        <w:ind w:firstLine="420" w:firstLineChars="200"/>
        <w:rPr>
          <w:rFonts w:hint="eastAsia" w:hAnsi="宋体" w:cs="宋体"/>
          <w:kern w:val="2"/>
          <w:sz w:val="21"/>
          <w:szCs w:val="24"/>
        </w:rPr>
      </w:pPr>
    </w:p>
    <w:p w14:paraId="693B37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rPr>
      </w:pPr>
      <w:r>
        <w:rPr>
          <w:rFonts w:hint="eastAsia" w:ascii="宋体" w:hAnsi="宋体" w:eastAsia="宋体" w:cs="宋体"/>
          <w:b/>
          <w:bCs/>
          <w:i w:val="0"/>
          <w:iCs w:val="0"/>
          <w:snapToGrid w:val="0"/>
          <w:color w:val="auto"/>
          <w:kern w:val="0"/>
          <w:sz w:val="21"/>
          <w:szCs w:val="21"/>
          <w:highlight w:val="none"/>
          <w:u w:val="none"/>
          <w:lang w:val="en-US" w:eastAsia="zh-CN" w:bidi="ar"/>
        </w:rPr>
        <w:t xml:space="preserve">8.1.2 </w:t>
      </w:r>
      <w:r>
        <w:rPr>
          <w:rFonts w:hint="eastAsia" w:ascii="宋体" w:hAnsi="宋体" w:eastAsia="宋体" w:cs="宋体"/>
          <w:b/>
          <w:bCs/>
          <w:szCs w:val="21"/>
          <w:lang w:val="en-US" w:eastAsia="zh-CN"/>
        </w:rPr>
        <w:t>技术部分</w:t>
      </w:r>
      <w:r>
        <w:rPr>
          <w:rFonts w:hint="eastAsia" w:ascii="宋体" w:hAnsi="宋体" w:eastAsia="宋体" w:cs="宋体"/>
          <w:b/>
          <w:bCs/>
          <w:i w:val="0"/>
          <w:iCs w:val="0"/>
          <w:snapToGrid w:val="0"/>
          <w:color w:val="auto"/>
          <w:kern w:val="0"/>
          <w:sz w:val="21"/>
          <w:szCs w:val="21"/>
          <w:highlight w:val="none"/>
          <w:u w:val="none"/>
          <w:lang w:val="en-US" w:eastAsia="zh-CN" w:bidi="ar"/>
        </w:rPr>
        <w:t>（65分）</w:t>
      </w:r>
    </w:p>
    <w:tbl>
      <w:tblPr>
        <w:tblStyle w:val="18"/>
        <w:tblpPr w:leftFromText="180" w:rightFromText="180" w:vertAnchor="text" w:horzAnchor="page" w:tblpXSpec="center" w:tblpY="222"/>
        <w:tblOverlap w:val="never"/>
        <w:tblW w:w="96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1624"/>
        <w:gridCol w:w="5793"/>
        <w:gridCol w:w="562"/>
        <w:gridCol w:w="472"/>
        <w:gridCol w:w="499"/>
      </w:tblGrid>
      <w:tr w14:paraId="4F471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12" w:type="dxa"/>
            <w:vMerge w:val="restart"/>
            <w:vAlign w:val="center"/>
          </w:tcPr>
          <w:p w14:paraId="1C9CAB8A">
            <w:pPr>
              <w:keepNext w:val="0"/>
              <w:keepLines w:val="0"/>
              <w:widowControl/>
              <w:suppressLineNumbers w:val="0"/>
              <w:jc w:val="center"/>
              <w:textAlignment w:val="center"/>
              <w:rPr>
                <w:rFonts w:hint="default"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1624" w:type="dxa"/>
            <w:vMerge w:val="restart"/>
            <w:tcBorders>
              <w:bottom w:val="nil"/>
            </w:tcBorders>
            <w:vAlign w:val="center"/>
          </w:tcPr>
          <w:p w14:paraId="0E23D038">
            <w:pPr>
              <w:keepNext w:val="0"/>
              <w:keepLines w:val="0"/>
              <w:widowControl/>
              <w:suppressLineNumbers w:val="0"/>
              <w:jc w:val="center"/>
              <w:textAlignment w:val="center"/>
              <w:rPr>
                <w:rFonts w:hint="default"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因素</w:t>
            </w:r>
          </w:p>
        </w:tc>
        <w:tc>
          <w:tcPr>
            <w:tcW w:w="5793" w:type="dxa"/>
            <w:vMerge w:val="restart"/>
            <w:tcBorders>
              <w:bottom w:val="nil"/>
            </w:tcBorders>
            <w:vAlign w:val="center"/>
          </w:tcPr>
          <w:p w14:paraId="7D4F1D6E">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标准</w:t>
            </w:r>
          </w:p>
        </w:tc>
        <w:tc>
          <w:tcPr>
            <w:tcW w:w="1533" w:type="dxa"/>
            <w:gridSpan w:val="3"/>
            <w:vAlign w:val="top"/>
          </w:tcPr>
          <w:p w14:paraId="749DC5F6">
            <w:pPr>
              <w:keepNext w:val="0"/>
              <w:keepLines w:val="0"/>
              <w:widowControl/>
              <w:suppressLineNumbers w:val="0"/>
              <w:jc w:val="center"/>
              <w:textAlignment w:val="center"/>
              <w:rPr>
                <w:rFonts w:hint="default" w:eastAsia="宋体"/>
                <w:sz w:val="21"/>
                <w:szCs w:val="21"/>
                <w:highlight w:val="none"/>
                <w:lang w:val="en-US" w:eastAsia="zh-CN"/>
              </w:rPr>
            </w:pPr>
            <w:r>
              <w:rPr>
                <w:rFonts w:hint="eastAsia" w:eastAsia="宋体"/>
                <w:b/>
                <w:bCs/>
                <w:sz w:val="21"/>
                <w:szCs w:val="21"/>
                <w:highlight w:val="none"/>
                <w:lang w:val="en-US" w:eastAsia="zh-CN"/>
              </w:rPr>
              <w:t>分值</w:t>
            </w:r>
          </w:p>
        </w:tc>
      </w:tr>
      <w:tr w14:paraId="082DB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712" w:type="dxa"/>
            <w:vMerge w:val="continue"/>
            <w:vAlign w:val="center"/>
          </w:tcPr>
          <w:p w14:paraId="240FA9B1">
            <w:pPr>
              <w:spacing w:line="244" w:lineRule="auto"/>
              <w:jc w:val="center"/>
              <w:rPr>
                <w:rFonts w:hint="eastAsia" w:ascii="宋体" w:hAnsi="宋体" w:eastAsia="宋体" w:cs="宋体"/>
                <w:sz w:val="21"/>
                <w:szCs w:val="21"/>
                <w:highlight w:val="none"/>
              </w:rPr>
            </w:pPr>
          </w:p>
        </w:tc>
        <w:tc>
          <w:tcPr>
            <w:tcW w:w="1624" w:type="dxa"/>
            <w:vMerge w:val="continue"/>
            <w:tcBorders>
              <w:top w:val="nil"/>
            </w:tcBorders>
            <w:vAlign w:val="top"/>
          </w:tcPr>
          <w:p w14:paraId="59AAFE43">
            <w:pPr>
              <w:rPr>
                <w:rFonts w:ascii="Arial"/>
                <w:sz w:val="21"/>
                <w:szCs w:val="21"/>
                <w:highlight w:val="none"/>
              </w:rPr>
            </w:pPr>
          </w:p>
        </w:tc>
        <w:tc>
          <w:tcPr>
            <w:tcW w:w="5793" w:type="dxa"/>
            <w:vMerge w:val="continue"/>
            <w:tcBorders>
              <w:top w:val="nil"/>
            </w:tcBorders>
            <w:vAlign w:val="top"/>
          </w:tcPr>
          <w:p w14:paraId="4CDDF305">
            <w:pPr>
              <w:rPr>
                <w:rFonts w:ascii="Arial"/>
                <w:sz w:val="21"/>
                <w:szCs w:val="21"/>
                <w:highlight w:val="none"/>
              </w:rPr>
            </w:pPr>
          </w:p>
        </w:tc>
        <w:tc>
          <w:tcPr>
            <w:tcW w:w="562" w:type="dxa"/>
            <w:vAlign w:val="center"/>
          </w:tcPr>
          <w:p w14:paraId="2EECA4B4">
            <w:pPr>
              <w:pStyle w:val="17"/>
              <w:spacing w:before="93" w:line="230" w:lineRule="auto"/>
              <w:jc w:val="center"/>
              <w:rPr>
                <w:sz w:val="21"/>
                <w:szCs w:val="21"/>
                <w:highlight w:val="none"/>
              </w:rPr>
            </w:pPr>
            <w:r>
              <w:rPr>
                <w:b/>
                <w:bCs/>
                <w:spacing w:val="4"/>
                <w:sz w:val="21"/>
                <w:szCs w:val="21"/>
                <w:highlight w:val="none"/>
              </w:rPr>
              <w:t>优秀</w:t>
            </w:r>
          </w:p>
        </w:tc>
        <w:tc>
          <w:tcPr>
            <w:tcW w:w="472" w:type="dxa"/>
            <w:vAlign w:val="center"/>
          </w:tcPr>
          <w:p w14:paraId="379A100F">
            <w:pPr>
              <w:pStyle w:val="17"/>
              <w:spacing w:before="93" w:line="230" w:lineRule="auto"/>
              <w:jc w:val="center"/>
              <w:rPr>
                <w:sz w:val="21"/>
                <w:szCs w:val="21"/>
                <w:highlight w:val="none"/>
              </w:rPr>
            </w:pPr>
            <w:r>
              <w:rPr>
                <w:b/>
                <w:bCs/>
                <w:spacing w:val="-9"/>
                <w:sz w:val="21"/>
                <w:szCs w:val="21"/>
                <w:highlight w:val="none"/>
              </w:rPr>
              <w:t>良好</w:t>
            </w:r>
          </w:p>
        </w:tc>
        <w:tc>
          <w:tcPr>
            <w:tcW w:w="499" w:type="dxa"/>
            <w:vAlign w:val="center"/>
          </w:tcPr>
          <w:p w14:paraId="66E08F6B">
            <w:pPr>
              <w:pStyle w:val="17"/>
              <w:spacing w:before="93" w:line="231" w:lineRule="auto"/>
              <w:jc w:val="center"/>
              <w:rPr>
                <w:sz w:val="21"/>
                <w:szCs w:val="21"/>
                <w:highlight w:val="none"/>
              </w:rPr>
            </w:pPr>
            <w:r>
              <w:rPr>
                <w:b/>
                <w:bCs/>
                <w:spacing w:val="3"/>
                <w:sz w:val="21"/>
                <w:szCs w:val="21"/>
                <w:highlight w:val="none"/>
              </w:rPr>
              <w:t>一般</w:t>
            </w:r>
          </w:p>
        </w:tc>
      </w:tr>
      <w:tr w14:paraId="2B66A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712" w:type="dxa"/>
            <w:vMerge w:val="restart"/>
            <w:vAlign w:val="center"/>
          </w:tcPr>
          <w:p w14:paraId="2F49D513">
            <w:pPr>
              <w:spacing w:line="24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624" w:type="dxa"/>
            <w:vMerge w:val="restart"/>
            <w:tcBorders>
              <w:bottom w:val="nil"/>
            </w:tcBorders>
            <w:vAlign w:val="center"/>
          </w:tcPr>
          <w:p w14:paraId="12A8CCF2">
            <w:pPr>
              <w:pStyle w:val="17"/>
              <w:spacing w:before="49" w:line="230" w:lineRule="auto"/>
              <w:jc w:val="both"/>
              <w:rPr>
                <w:b/>
                <w:bCs/>
                <w:sz w:val="21"/>
                <w:szCs w:val="21"/>
                <w:highlight w:val="none"/>
              </w:rPr>
            </w:pPr>
            <w:r>
              <w:rPr>
                <w:b/>
                <w:bCs/>
                <w:spacing w:val="7"/>
                <w:sz w:val="21"/>
                <w:szCs w:val="21"/>
                <w:highlight w:val="none"/>
              </w:rPr>
              <w:t>整体框架集成设计</w:t>
            </w:r>
          </w:p>
          <w:p w14:paraId="22C3179B">
            <w:pPr>
              <w:pStyle w:val="17"/>
              <w:spacing w:before="7" w:line="230" w:lineRule="auto"/>
              <w:jc w:val="both"/>
              <w:rPr>
                <w:b/>
                <w:bCs/>
                <w:sz w:val="21"/>
                <w:szCs w:val="21"/>
                <w:highlight w:val="none"/>
              </w:rPr>
            </w:pPr>
            <w:r>
              <w:rPr>
                <w:b/>
                <w:bCs/>
                <w:spacing w:val="2"/>
                <w:sz w:val="21"/>
                <w:szCs w:val="21"/>
                <w:highlight w:val="none"/>
              </w:rPr>
              <w:t>（</w:t>
            </w:r>
            <w:r>
              <w:rPr>
                <w:rFonts w:hint="eastAsia"/>
                <w:b/>
                <w:bCs/>
                <w:spacing w:val="2"/>
                <w:sz w:val="21"/>
                <w:szCs w:val="21"/>
                <w:highlight w:val="none"/>
                <w:lang w:val="en-US" w:eastAsia="zh-CN"/>
              </w:rPr>
              <w:t>10</w:t>
            </w:r>
            <w:r>
              <w:rPr>
                <w:b/>
                <w:bCs/>
                <w:spacing w:val="2"/>
                <w:sz w:val="21"/>
                <w:szCs w:val="21"/>
                <w:highlight w:val="none"/>
              </w:rPr>
              <w:t>分）</w:t>
            </w:r>
          </w:p>
        </w:tc>
        <w:tc>
          <w:tcPr>
            <w:tcW w:w="5793" w:type="dxa"/>
            <w:vAlign w:val="top"/>
          </w:tcPr>
          <w:p w14:paraId="2736DBD7">
            <w:pPr>
              <w:pStyle w:val="17"/>
              <w:numPr>
                <w:ilvl w:val="0"/>
                <w:numId w:val="0"/>
              </w:numPr>
              <w:spacing w:before="6" w:line="238" w:lineRule="auto"/>
              <w:ind w:right="158" w:rightChars="0"/>
              <w:rPr>
                <w:rFonts w:hint="eastAsia"/>
                <w:spacing w:val="7"/>
                <w:sz w:val="21"/>
                <w:szCs w:val="21"/>
                <w:highlight w:val="none"/>
                <w:lang w:eastAsia="zh-CN"/>
              </w:rPr>
            </w:pPr>
            <w:r>
              <w:rPr>
                <w:rFonts w:hint="eastAsia" w:ascii="宋体" w:hAnsi="宋体" w:eastAsia="宋体" w:cs="宋体"/>
                <w:snapToGrid w:val="0"/>
                <w:color w:val="000000"/>
                <w:spacing w:val="7"/>
                <w:kern w:val="0"/>
                <w:sz w:val="21"/>
                <w:szCs w:val="21"/>
                <w:lang w:val="en-US" w:eastAsia="zh-CN" w:bidi="ar-SA"/>
              </w:rPr>
              <w:t>1.</w:t>
            </w:r>
            <w:r>
              <w:rPr>
                <w:spacing w:val="8"/>
                <w:sz w:val="21"/>
                <w:szCs w:val="21"/>
                <w:highlight w:val="none"/>
              </w:rPr>
              <w:t>针对本项目整体架构设计，总体设计思路清</w:t>
            </w:r>
            <w:r>
              <w:rPr>
                <w:spacing w:val="7"/>
                <w:sz w:val="21"/>
                <w:szCs w:val="21"/>
                <w:highlight w:val="none"/>
              </w:rPr>
              <w:t>晰、技术路线准确，能准确</w:t>
            </w:r>
            <w:r>
              <w:rPr>
                <w:rFonts w:ascii="宋体" w:hAnsi="宋体" w:eastAsia="宋体" w:cs="宋体"/>
                <w:spacing w:val="8"/>
                <w:sz w:val="21"/>
                <w:szCs w:val="21"/>
                <w:highlight w:val="none"/>
              </w:rPr>
              <w:t>把握</w:t>
            </w:r>
            <w:r>
              <w:rPr>
                <w:sz w:val="21"/>
                <w:szCs w:val="21"/>
                <w:highlight w:val="none"/>
              </w:rPr>
              <w:t xml:space="preserve"> </w:t>
            </w:r>
            <w:r>
              <w:rPr>
                <w:spacing w:val="8"/>
                <w:sz w:val="21"/>
                <w:szCs w:val="21"/>
                <w:highlight w:val="none"/>
              </w:rPr>
              <w:t>项目定位和建设目标，架构设计成熟、集成可靠、具有先进性且完全满足项目</w:t>
            </w:r>
            <w:r>
              <w:rPr>
                <w:spacing w:val="4"/>
                <w:sz w:val="21"/>
                <w:szCs w:val="21"/>
                <w:highlight w:val="none"/>
              </w:rPr>
              <w:t xml:space="preserve"> </w:t>
            </w:r>
            <w:r>
              <w:rPr>
                <w:spacing w:val="7"/>
                <w:sz w:val="21"/>
                <w:szCs w:val="21"/>
                <w:highlight w:val="none"/>
              </w:rPr>
              <w:t>建设实际需求的</w:t>
            </w:r>
            <w:r>
              <w:rPr>
                <w:rFonts w:hint="eastAsia"/>
                <w:spacing w:val="7"/>
                <w:sz w:val="21"/>
                <w:szCs w:val="21"/>
                <w:highlight w:val="none"/>
                <w:lang w:eastAsia="zh-CN"/>
              </w:rPr>
              <w:t>。</w:t>
            </w:r>
          </w:p>
        </w:tc>
        <w:tc>
          <w:tcPr>
            <w:tcW w:w="562" w:type="dxa"/>
            <w:vAlign w:val="center"/>
          </w:tcPr>
          <w:p w14:paraId="132E8A8B">
            <w:pPr>
              <w:pStyle w:val="17"/>
              <w:spacing w:before="271" w:line="203" w:lineRule="exact"/>
              <w:jc w:val="center"/>
              <w:rPr>
                <w:rFonts w:hint="default" w:eastAsia="宋体"/>
                <w:sz w:val="21"/>
                <w:szCs w:val="21"/>
                <w:highlight w:val="none"/>
                <w:lang w:val="en-US" w:eastAsia="zh-CN"/>
              </w:rPr>
            </w:pPr>
            <w:r>
              <w:rPr>
                <w:rFonts w:hint="eastAsia"/>
                <w:sz w:val="21"/>
                <w:szCs w:val="21"/>
                <w:highlight w:val="none"/>
                <w:lang w:val="en-US" w:eastAsia="zh-CN"/>
              </w:rPr>
              <w:t>4</w:t>
            </w:r>
          </w:p>
        </w:tc>
        <w:tc>
          <w:tcPr>
            <w:tcW w:w="472" w:type="dxa"/>
            <w:vAlign w:val="center"/>
          </w:tcPr>
          <w:p w14:paraId="75A03FDF">
            <w:pPr>
              <w:pStyle w:val="17"/>
              <w:spacing w:before="271" w:line="205" w:lineRule="exact"/>
              <w:jc w:val="center"/>
              <w:rPr>
                <w:rFonts w:hint="default" w:eastAsia="宋体"/>
                <w:sz w:val="21"/>
                <w:szCs w:val="21"/>
                <w:highlight w:val="none"/>
                <w:lang w:val="en-US" w:eastAsia="zh-CN"/>
              </w:rPr>
            </w:pPr>
            <w:r>
              <w:rPr>
                <w:rFonts w:hint="eastAsia"/>
                <w:sz w:val="21"/>
                <w:szCs w:val="21"/>
                <w:highlight w:val="none"/>
                <w:lang w:val="en-US" w:eastAsia="zh-CN"/>
              </w:rPr>
              <w:t>2</w:t>
            </w:r>
          </w:p>
        </w:tc>
        <w:tc>
          <w:tcPr>
            <w:tcW w:w="499" w:type="dxa"/>
            <w:vAlign w:val="center"/>
          </w:tcPr>
          <w:p w14:paraId="35CD3522">
            <w:pPr>
              <w:pStyle w:val="17"/>
              <w:spacing w:before="271" w:line="203" w:lineRule="exact"/>
              <w:jc w:val="center"/>
              <w:rPr>
                <w:rFonts w:hint="default" w:eastAsia="宋体"/>
                <w:sz w:val="21"/>
                <w:szCs w:val="21"/>
                <w:highlight w:val="none"/>
                <w:lang w:val="en-US" w:eastAsia="zh-CN"/>
              </w:rPr>
            </w:pPr>
            <w:r>
              <w:rPr>
                <w:rFonts w:hint="eastAsia"/>
                <w:sz w:val="21"/>
                <w:szCs w:val="21"/>
                <w:highlight w:val="none"/>
                <w:lang w:val="en-US" w:eastAsia="zh-CN"/>
              </w:rPr>
              <w:t>1</w:t>
            </w:r>
          </w:p>
        </w:tc>
      </w:tr>
      <w:tr w14:paraId="3EA7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712" w:type="dxa"/>
            <w:vMerge w:val="continue"/>
            <w:vAlign w:val="center"/>
          </w:tcPr>
          <w:p w14:paraId="3F8DA234">
            <w:pPr>
              <w:spacing w:line="244" w:lineRule="auto"/>
              <w:jc w:val="center"/>
              <w:rPr>
                <w:rFonts w:hint="eastAsia" w:ascii="宋体" w:hAnsi="宋体" w:eastAsia="宋体" w:cs="宋体"/>
                <w:sz w:val="21"/>
                <w:szCs w:val="21"/>
                <w:highlight w:val="none"/>
              </w:rPr>
            </w:pPr>
          </w:p>
        </w:tc>
        <w:tc>
          <w:tcPr>
            <w:tcW w:w="1624" w:type="dxa"/>
            <w:vMerge w:val="continue"/>
            <w:tcBorders>
              <w:top w:val="nil"/>
              <w:bottom w:val="nil"/>
            </w:tcBorders>
            <w:vAlign w:val="center"/>
          </w:tcPr>
          <w:p w14:paraId="6513D3A9">
            <w:pPr>
              <w:jc w:val="both"/>
              <w:rPr>
                <w:rFonts w:ascii="Arial"/>
                <w:b/>
                <w:bCs/>
                <w:sz w:val="21"/>
                <w:szCs w:val="21"/>
                <w:highlight w:val="none"/>
              </w:rPr>
            </w:pPr>
          </w:p>
        </w:tc>
        <w:tc>
          <w:tcPr>
            <w:tcW w:w="5793" w:type="dxa"/>
            <w:vAlign w:val="top"/>
          </w:tcPr>
          <w:p w14:paraId="1D98CD9C">
            <w:pPr>
              <w:pStyle w:val="17"/>
              <w:numPr>
                <w:ilvl w:val="0"/>
                <w:numId w:val="0"/>
              </w:numPr>
              <w:spacing w:before="6" w:line="238" w:lineRule="auto"/>
              <w:ind w:right="158" w:rightChars="0"/>
              <w:rPr>
                <w:rFonts w:hint="eastAsia" w:eastAsia="宋体"/>
                <w:spacing w:val="6"/>
                <w:sz w:val="21"/>
                <w:szCs w:val="21"/>
                <w:highlight w:val="none"/>
                <w:lang w:eastAsia="zh-CN"/>
              </w:rPr>
            </w:pPr>
            <w:r>
              <w:rPr>
                <w:rFonts w:ascii="宋体" w:hAnsi="宋体" w:eastAsia="宋体" w:cs="宋体"/>
                <w:snapToGrid w:val="0"/>
                <w:color w:val="000000"/>
                <w:spacing w:val="6"/>
                <w:kern w:val="0"/>
                <w:sz w:val="21"/>
                <w:szCs w:val="21"/>
                <w:lang w:val="en-US" w:eastAsia="en-US" w:bidi="ar-SA"/>
              </w:rPr>
              <w:t>2.</w:t>
            </w:r>
            <w:r>
              <w:rPr>
                <w:spacing w:val="8"/>
                <w:sz w:val="21"/>
                <w:szCs w:val="21"/>
                <w:highlight w:val="none"/>
              </w:rPr>
              <w:t>整体方案</w:t>
            </w:r>
            <w:r>
              <w:rPr>
                <w:rFonts w:ascii="宋体" w:hAnsi="宋体" w:eastAsia="宋体" w:cs="宋体"/>
                <w:spacing w:val="8"/>
                <w:sz w:val="21"/>
                <w:szCs w:val="21"/>
                <w:highlight w:val="none"/>
              </w:rPr>
              <w:t>集成</w:t>
            </w:r>
            <w:r>
              <w:rPr>
                <w:spacing w:val="8"/>
                <w:sz w:val="21"/>
                <w:szCs w:val="21"/>
                <w:highlight w:val="none"/>
              </w:rPr>
              <w:t>设计采用符合业界标准的主流技术，充分考虑了当前</w:t>
            </w:r>
            <w:r>
              <w:rPr>
                <w:spacing w:val="7"/>
                <w:sz w:val="21"/>
                <w:szCs w:val="21"/>
                <w:highlight w:val="none"/>
              </w:rPr>
              <w:t>业界的主</w:t>
            </w:r>
            <w:r>
              <w:rPr>
                <w:sz w:val="21"/>
                <w:szCs w:val="21"/>
                <w:highlight w:val="none"/>
              </w:rPr>
              <w:t xml:space="preserve"> </w:t>
            </w:r>
            <w:r>
              <w:rPr>
                <w:spacing w:val="8"/>
                <w:sz w:val="21"/>
                <w:szCs w:val="21"/>
                <w:highlight w:val="none"/>
              </w:rPr>
              <w:t>流技术趋势，并严格遵循了智慧教育行业相关的建设规范和要求，确保了方案</w:t>
            </w:r>
            <w:r>
              <w:rPr>
                <w:spacing w:val="5"/>
                <w:sz w:val="21"/>
                <w:szCs w:val="21"/>
                <w:highlight w:val="none"/>
              </w:rPr>
              <w:t xml:space="preserve"> </w:t>
            </w:r>
            <w:r>
              <w:rPr>
                <w:spacing w:val="6"/>
                <w:sz w:val="21"/>
                <w:szCs w:val="21"/>
                <w:highlight w:val="none"/>
              </w:rPr>
              <w:t>的先进性与适用性。</w:t>
            </w:r>
          </w:p>
        </w:tc>
        <w:tc>
          <w:tcPr>
            <w:tcW w:w="562" w:type="dxa"/>
            <w:vAlign w:val="center"/>
          </w:tcPr>
          <w:p w14:paraId="5E855CD3">
            <w:pPr>
              <w:pStyle w:val="17"/>
              <w:spacing w:before="272" w:line="204" w:lineRule="exact"/>
              <w:jc w:val="center"/>
              <w:rPr>
                <w:rFonts w:hint="default" w:eastAsia="宋体"/>
                <w:sz w:val="21"/>
                <w:szCs w:val="21"/>
                <w:highlight w:val="none"/>
                <w:lang w:val="en-US" w:eastAsia="zh-CN"/>
              </w:rPr>
            </w:pPr>
            <w:r>
              <w:rPr>
                <w:rFonts w:hint="eastAsia"/>
                <w:sz w:val="21"/>
                <w:szCs w:val="21"/>
                <w:highlight w:val="none"/>
                <w:lang w:val="en-US" w:eastAsia="zh-CN"/>
              </w:rPr>
              <w:t>3</w:t>
            </w:r>
          </w:p>
        </w:tc>
        <w:tc>
          <w:tcPr>
            <w:tcW w:w="472" w:type="dxa"/>
            <w:vAlign w:val="center"/>
          </w:tcPr>
          <w:p w14:paraId="37B5ACE6">
            <w:pPr>
              <w:pStyle w:val="17"/>
              <w:spacing w:before="272" w:line="202" w:lineRule="exact"/>
              <w:jc w:val="center"/>
              <w:rPr>
                <w:rFonts w:hint="default" w:eastAsia="宋体"/>
                <w:sz w:val="21"/>
                <w:szCs w:val="21"/>
                <w:highlight w:val="none"/>
                <w:lang w:val="en-US" w:eastAsia="zh-CN"/>
              </w:rPr>
            </w:pPr>
            <w:r>
              <w:rPr>
                <w:rFonts w:hint="eastAsia"/>
                <w:sz w:val="21"/>
                <w:szCs w:val="21"/>
                <w:highlight w:val="none"/>
                <w:lang w:val="en-US" w:eastAsia="zh-CN"/>
              </w:rPr>
              <w:t>2</w:t>
            </w:r>
          </w:p>
        </w:tc>
        <w:tc>
          <w:tcPr>
            <w:tcW w:w="499" w:type="dxa"/>
            <w:tcBorders>
              <w:right w:val="single" w:color="auto" w:sz="4" w:space="0"/>
            </w:tcBorders>
            <w:vAlign w:val="center"/>
          </w:tcPr>
          <w:p w14:paraId="6D073BCA">
            <w:pPr>
              <w:pStyle w:val="17"/>
              <w:spacing w:before="272" w:line="204" w:lineRule="exact"/>
              <w:jc w:val="center"/>
              <w:rPr>
                <w:rFonts w:hint="default" w:eastAsia="宋体"/>
                <w:sz w:val="21"/>
                <w:szCs w:val="21"/>
                <w:highlight w:val="none"/>
                <w:lang w:val="en-US" w:eastAsia="zh-CN"/>
              </w:rPr>
            </w:pPr>
            <w:r>
              <w:rPr>
                <w:rFonts w:hint="eastAsia"/>
                <w:sz w:val="21"/>
                <w:szCs w:val="21"/>
                <w:highlight w:val="none"/>
                <w:lang w:val="en-US" w:eastAsia="zh-CN"/>
              </w:rPr>
              <w:t>1</w:t>
            </w:r>
          </w:p>
        </w:tc>
      </w:tr>
      <w:tr w14:paraId="51CC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712" w:type="dxa"/>
            <w:vMerge w:val="continue"/>
            <w:vAlign w:val="center"/>
          </w:tcPr>
          <w:p w14:paraId="04AEA144">
            <w:pPr>
              <w:spacing w:line="244" w:lineRule="auto"/>
              <w:jc w:val="center"/>
              <w:rPr>
                <w:rFonts w:hint="eastAsia" w:ascii="宋体" w:hAnsi="宋体" w:eastAsia="宋体" w:cs="宋体"/>
                <w:sz w:val="21"/>
                <w:szCs w:val="21"/>
                <w:highlight w:val="none"/>
              </w:rPr>
            </w:pPr>
          </w:p>
        </w:tc>
        <w:tc>
          <w:tcPr>
            <w:tcW w:w="1624" w:type="dxa"/>
            <w:vMerge w:val="continue"/>
            <w:tcBorders>
              <w:top w:val="nil"/>
            </w:tcBorders>
            <w:vAlign w:val="center"/>
          </w:tcPr>
          <w:p w14:paraId="7BA9743F">
            <w:pPr>
              <w:jc w:val="both"/>
              <w:rPr>
                <w:rFonts w:ascii="Arial"/>
                <w:b/>
                <w:bCs/>
                <w:sz w:val="21"/>
                <w:szCs w:val="21"/>
                <w:highlight w:val="none"/>
              </w:rPr>
            </w:pPr>
          </w:p>
        </w:tc>
        <w:tc>
          <w:tcPr>
            <w:tcW w:w="5793" w:type="dxa"/>
            <w:vAlign w:val="top"/>
          </w:tcPr>
          <w:p w14:paraId="7D00800A">
            <w:pPr>
              <w:pStyle w:val="17"/>
              <w:numPr>
                <w:ilvl w:val="0"/>
                <w:numId w:val="2"/>
              </w:numPr>
              <w:spacing w:before="6" w:line="238" w:lineRule="auto"/>
              <w:ind w:left="19" w:leftChars="0" w:right="158" w:rightChars="0"/>
              <w:rPr>
                <w:rFonts w:hint="eastAsia"/>
                <w:spacing w:val="7"/>
                <w:sz w:val="21"/>
                <w:szCs w:val="21"/>
                <w:highlight w:val="none"/>
                <w:lang w:val="en-US" w:eastAsia="zh-CN"/>
              </w:rPr>
            </w:pPr>
            <w:r>
              <w:rPr>
                <w:spacing w:val="8"/>
                <w:sz w:val="21"/>
                <w:szCs w:val="21"/>
                <w:highlight w:val="none"/>
              </w:rPr>
              <w:t>针对本项目</w:t>
            </w:r>
            <w:r>
              <w:rPr>
                <w:spacing w:val="10"/>
                <w:sz w:val="21"/>
                <w:szCs w:val="21"/>
                <w:highlight w:val="none"/>
              </w:rPr>
              <w:t>整体架构设计科学合理</w:t>
            </w:r>
            <w:r>
              <w:rPr>
                <w:spacing w:val="9"/>
                <w:sz w:val="21"/>
                <w:szCs w:val="21"/>
                <w:highlight w:val="none"/>
              </w:rPr>
              <w:t>，各模</w:t>
            </w:r>
            <w:r>
              <w:rPr>
                <w:spacing w:val="8"/>
                <w:sz w:val="21"/>
                <w:szCs w:val="21"/>
                <w:highlight w:val="none"/>
              </w:rPr>
              <w:t>块之间可实现高度解耦，具备良好的可扩展性和可维护性，便于后续系统升级</w:t>
            </w:r>
            <w:r>
              <w:rPr>
                <w:spacing w:val="7"/>
                <w:sz w:val="21"/>
                <w:szCs w:val="21"/>
                <w:highlight w:val="none"/>
              </w:rPr>
              <w:t>与功能扩展；</w:t>
            </w:r>
            <w:r>
              <w:rPr>
                <w:spacing w:val="-35"/>
                <w:sz w:val="21"/>
                <w:szCs w:val="21"/>
                <w:highlight w:val="none"/>
              </w:rPr>
              <w:t xml:space="preserve"> </w:t>
            </w:r>
            <w:r>
              <w:rPr>
                <w:spacing w:val="7"/>
                <w:sz w:val="21"/>
                <w:szCs w:val="21"/>
                <w:highlight w:val="none"/>
              </w:rPr>
              <w:t>同时，该架构支持跨平台操作和开放数据接口服务；满足《教育</w:t>
            </w:r>
            <w:r>
              <w:rPr>
                <w:spacing w:val="8"/>
                <w:sz w:val="21"/>
                <w:szCs w:val="21"/>
                <w:highlight w:val="none"/>
              </w:rPr>
              <w:t>数据安全管理规范》等国家标准要求，并具备敏感数据脱敏处</w:t>
            </w:r>
            <w:r>
              <w:rPr>
                <w:spacing w:val="7"/>
                <w:sz w:val="21"/>
                <w:szCs w:val="21"/>
                <w:highlight w:val="none"/>
              </w:rPr>
              <w:t>理功能。</w:t>
            </w:r>
          </w:p>
        </w:tc>
        <w:tc>
          <w:tcPr>
            <w:tcW w:w="562" w:type="dxa"/>
            <w:vAlign w:val="center"/>
          </w:tcPr>
          <w:p w14:paraId="4747E60A">
            <w:pPr>
              <w:pStyle w:val="17"/>
              <w:spacing w:before="49" w:line="203" w:lineRule="exact"/>
              <w:jc w:val="center"/>
              <w:rPr>
                <w:rFonts w:hint="default" w:eastAsia="宋体"/>
                <w:sz w:val="21"/>
                <w:szCs w:val="21"/>
                <w:highlight w:val="none"/>
                <w:lang w:val="en-US" w:eastAsia="zh-CN"/>
              </w:rPr>
            </w:pPr>
            <w:r>
              <w:rPr>
                <w:rFonts w:hint="eastAsia"/>
                <w:sz w:val="21"/>
                <w:szCs w:val="21"/>
                <w:highlight w:val="none"/>
                <w:lang w:val="en-US" w:eastAsia="zh-CN"/>
              </w:rPr>
              <w:t>3</w:t>
            </w:r>
          </w:p>
        </w:tc>
        <w:tc>
          <w:tcPr>
            <w:tcW w:w="472" w:type="dxa"/>
            <w:vAlign w:val="center"/>
          </w:tcPr>
          <w:p w14:paraId="5BDC2FB4">
            <w:pPr>
              <w:pStyle w:val="17"/>
              <w:spacing w:before="49" w:line="203" w:lineRule="exact"/>
              <w:jc w:val="center"/>
              <w:rPr>
                <w:rFonts w:hint="default" w:eastAsia="宋体"/>
                <w:sz w:val="21"/>
                <w:szCs w:val="21"/>
                <w:highlight w:val="none"/>
                <w:lang w:val="en-US" w:eastAsia="zh-CN"/>
              </w:rPr>
            </w:pPr>
            <w:r>
              <w:rPr>
                <w:rFonts w:hint="eastAsia"/>
                <w:sz w:val="21"/>
                <w:szCs w:val="21"/>
                <w:highlight w:val="none"/>
                <w:lang w:val="en-US" w:eastAsia="zh-CN"/>
              </w:rPr>
              <w:t>2</w:t>
            </w:r>
          </w:p>
        </w:tc>
        <w:tc>
          <w:tcPr>
            <w:tcW w:w="499" w:type="dxa"/>
            <w:tcBorders>
              <w:right w:val="single" w:color="auto" w:sz="4" w:space="0"/>
            </w:tcBorders>
            <w:vAlign w:val="center"/>
          </w:tcPr>
          <w:p w14:paraId="02C3A65B">
            <w:pPr>
              <w:pStyle w:val="17"/>
              <w:spacing w:before="49" w:line="203" w:lineRule="exact"/>
              <w:jc w:val="center"/>
              <w:rPr>
                <w:rFonts w:hint="default" w:eastAsia="宋体"/>
                <w:sz w:val="21"/>
                <w:szCs w:val="21"/>
                <w:highlight w:val="none"/>
                <w:lang w:val="en-US" w:eastAsia="zh-CN"/>
              </w:rPr>
            </w:pPr>
            <w:r>
              <w:rPr>
                <w:rFonts w:hint="eastAsia"/>
                <w:sz w:val="21"/>
                <w:szCs w:val="21"/>
                <w:highlight w:val="none"/>
                <w:lang w:val="en-US" w:eastAsia="zh-CN"/>
              </w:rPr>
              <w:t>1</w:t>
            </w:r>
          </w:p>
        </w:tc>
      </w:tr>
      <w:tr w14:paraId="49D5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712" w:type="dxa"/>
            <w:vMerge w:val="restart"/>
            <w:vAlign w:val="center"/>
          </w:tcPr>
          <w:p w14:paraId="2CAA5575">
            <w:pPr>
              <w:spacing w:line="24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624" w:type="dxa"/>
            <w:vMerge w:val="restart"/>
            <w:tcBorders>
              <w:top w:val="nil"/>
            </w:tcBorders>
            <w:vAlign w:val="center"/>
          </w:tcPr>
          <w:p w14:paraId="6B07B402">
            <w:pPr>
              <w:pStyle w:val="17"/>
              <w:spacing w:before="49" w:line="230" w:lineRule="auto"/>
              <w:jc w:val="both"/>
              <w:rPr>
                <w:rFonts w:hint="default"/>
                <w:b/>
                <w:bCs/>
                <w:spacing w:val="7"/>
                <w:sz w:val="21"/>
                <w:szCs w:val="21"/>
                <w:highlight w:val="none"/>
                <w:lang w:val="en-US" w:eastAsia="zh-CN"/>
              </w:rPr>
            </w:pPr>
            <w:r>
              <w:rPr>
                <w:rFonts w:hint="eastAsia"/>
                <w:b/>
                <w:bCs/>
                <w:spacing w:val="7"/>
                <w:sz w:val="21"/>
                <w:szCs w:val="21"/>
                <w:highlight w:val="none"/>
                <w:lang w:val="en-US" w:eastAsia="zh-CN"/>
              </w:rPr>
              <w:t>平台能力</w:t>
            </w:r>
          </w:p>
          <w:p w14:paraId="4B34EF20">
            <w:pPr>
              <w:pStyle w:val="17"/>
              <w:spacing w:before="4" w:line="230" w:lineRule="auto"/>
              <w:jc w:val="both"/>
              <w:rPr>
                <w:b/>
                <w:bCs/>
                <w:sz w:val="21"/>
                <w:szCs w:val="21"/>
                <w:highlight w:val="none"/>
              </w:rPr>
            </w:pPr>
            <w:r>
              <w:rPr>
                <w:b/>
                <w:bCs/>
                <w:spacing w:val="2"/>
                <w:sz w:val="21"/>
                <w:szCs w:val="21"/>
                <w:highlight w:val="none"/>
              </w:rPr>
              <w:t>（</w:t>
            </w:r>
            <w:r>
              <w:rPr>
                <w:rFonts w:hint="eastAsia"/>
                <w:b/>
                <w:bCs/>
                <w:spacing w:val="2"/>
                <w:sz w:val="21"/>
                <w:szCs w:val="21"/>
                <w:highlight w:val="none"/>
                <w:lang w:val="en-US" w:eastAsia="zh-CN"/>
              </w:rPr>
              <w:t>25</w:t>
            </w:r>
            <w:r>
              <w:rPr>
                <w:b/>
                <w:bCs/>
                <w:spacing w:val="2"/>
                <w:sz w:val="21"/>
                <w:szCs w:val="21"/>
                <w:highlight w:val="none"/>
              </w:rPr>
              <w:t>分）</w:t>
            </w:r>
          </w:p>
          <w:p w14:paraId="26F51D68">
            <w:pPr>
              <w:jc w:val="both"/>
              <w:rPr>
                <w:rFonts w:ascii="Arial"/>
                <w:b/>
                <w:bCs/>
                <w:sz w:val="21"/>
                <w:szCs w:val="21"/>
                <w:highlight w:val="none"/>
              </w:rPr>
            </w:pPr>
          </w:p>
        </w:tc>
        <w:tc>
          <w:tcPr>
            <w:tcW w:w="7326" w:type="dxa"/>
            <w:gridSpan w:val="4"/>
            <w:tcBorders>
              <w:right w:val="single" w:color="auto" w:sz="4" w:space="0"/>
            </w:tcBorders>
            <w:vAlign w:val="top"/>
          </w:tcPr>
          <w:p w14:paraId="0DEA397A">
            <w:pPr>
              <w:pStyle w:val="17"/>
              <w:spacing w:before="74" w:line="239" w:lineRule="auto"/>
              <w:ind w:left="28" w:right="67" w:firstLine="10"/>
              <w:jc w:val="both"/>
              <w:rPr>
                <w:spacing w:val="8"/>
                <w:sz w:val="21"/>
                <w:szCs w:val="21"/>
                <w:highlight w:val="none"/>
              </w:rPr>
            </w:pPr>
            <w:r>
              <w:rPr>
                <w:spacing w:val="8"/>
                <w:sz w:val="21"/>
                <w:szCs w:val="21"/>
                <w:highlight w:val="none"/>
              </w:rPr>
              <w:t>此项从</w:t>
            </w:r>
            <w:r>
              <w:rPr>
                <w:rFonts w:hint="eastAsia"/>
                <w:spacing w:val="8"/>
                <w:sz w:val="21"/>
                <w:szCs w:val="21"/>
                <w:highlight w:val="none"/>
                <w:lang w:val="en-US" w:eastAsia="zh-CN"/>
              </w:rPr>
              <w:t>功能</w:t>
            </w:r>
            <w:r>
              <w:rPr>
                <w:spacing w:val="8"/>
                <w:sz w:val="21"/>
                <w:szCs w:val="21"/>
                <w:highlight w:val="none"/>
              </w:rPr>
              <w:t>体系是否充分考虑智慧</w:t>
            </w:r>
            <w:r>
              <w:rPr>
                <w:rFonts w:hint="eastAsia"/>
                <w:spacing w:val="8"/>
                <w:sz w:val="21"/>
                <w:szCs w:val="21"/>
                <w:highlight w:val="none"/>
                <w:lang w:val="en-US" w:eastAsia="zh-CN"/>
              </w:rPr>
              <w:t>研学管理与服务</w:t>
            </w:r>
            <w:r>
              <w:rPr>
                <w:spacing w:val="8"/>
                <w:sz w:val="21"/>
                <w:szCs w:val="21"/>
                <w:highlight w:val="none"/>
              </w:rPr>
              <w:t>的全面性和便捷性进行综合评价。具体如下：</w:t>
            </w:r>
          </w:p>
          <w:p w14:paraId="3C2FE53F">
            <w:pPr>
              <w:pStyle w:val="17"/>
              <w:spacing w:before="49" w:line="203" w:lineRule="exact"/>
              <w:jc w:val="both"/>
              <w:rPr>
                <w:rFonts w:hint="default"/>
                <w:position w:val="1"/>
                <w:sz w:val="21"/>
                <w:szCs w:val="21"/>
                <w:highlight w:val="none"/>
                <w:lang w:val="en-US" w:eastAsia="zh-CN"/>
              </w:rPr>
            </w:pPr>
            <w:r>
              <w:rPr>
                <w:rFonts w:hint="eastAsia"/>
                <w:b/>
                <w:bCs/>
                <w:spacing w:val="8"/>
                <w:sz w:val="21"/>
                <w:szCs w:val="21"/>
                <w:highlight w:val="none"/>
                <w:lang w:val="en-US" w:eastAsia="zh-CN"/>
              </w:rPr>
              <w:t>注</w:t>
            </w:r>
            <w:r>
              <w:rPr>
                <w:rFonts w:hint="eastAsia"/>
                <w:spacing w:val="8"/>
                <w:sz w:val="21"/>
                <w:szCs w:val="21"/>
                <w:highlight w:val="none"/>
                <w:lang w:val="en-US" w:eastAsia="zh-CN"/>
              </w:rPr>
              <w:t>：需提供详细建设方案，否则对应项不计分。</w:t>
            </w:r>
          </w:p>
        </w:tc>
      </w:tr>
      <w:tr w14:paraId="71D10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712" w:type="dxa"/>
            <w:vMerge w:val="continue"/>
            <w:vAlign w:val="center"/>
          </w:tcPr>
          <w:p w14:paraId="1EBF0ADB">
            <w:pPr>
              <w:spacing w:line="244" w:lineRule="auto"/>
              <w:jc w:val="center"/>
              <w:rPr>
                <w:rFonts w:hint="eastAsia" w:ascii="宋体" w:hAnsi="宋体" w:eastAsia="宋体" w:cs="宋体"/>
                <w:sz w:val="21"/>
                <w:szCs w:val="21"/>
                <w:highlight w:val="none"/>
                <w:lang w:val="en-US" w:eastAsia="zh-CN"/>
              </w:rPr>
            </w:pPr>
          </w:p>
        </w:tc>
        <w:tc>
          <w:tcPr>
            <w:tcW w:w="1624" w:type="dxa"/>
            <w:vMerge w:val="continue"/>
            <w:vAlign w:val="center"/>
          </w:tcPr>
          <w:p w14:paraId="1BE9E10A">
            <w:pPr>
              <w:pStyle w:val="17"/>
              <w:spacing w:before="49" w:line="230" w:lineRule="auto"/>
              <w:jc w:val="center"/>
              <w:rPr>
                <w:b/>
                <w:bCs/>
                <w:spacing w:val="-3"/>
                <w:sz w:val="21"/>
                <w:szCs w:val="21"/>
                <w:highlight w:val="none"/>
              </w:rPr>
            </w:pPr>
          </w:p>
        </w:tc>
        <w:tc>
          <w:tcPr>
            <w:tcW w:w="5793" w:type="dxa"/>
            <w:vAlign w:val="top"/>
          </w:tcPr>
          <w:p w14:paraId="5DDCCACC">
            <w:pPr>
              <w:pStyle w:val="17"/>
              <w:spacing w:before="6" w:line="238" w:lineRule="auto"/>
              <w:ind w:left="21" w:right="158" w:hanging="2"/>
              <w:rPr>
                <w:rFonts w:hint="eastAsia"/>
                <w:spacing w:val="8"/>
                <w:sz w:val="21"/>
                <w:szCs w:val="21"/>
                <w:highlight w:val="none"/>
                <w:lang w:val="en-US" w:eastAsia="zh-CN"/>
              </w:rPr>
            </w:pPr>
            <w:r>
              <w:rPr>
                <w:rFonts w:hint="eastAsia"/>
                <w:b/>
                <w:bCs/>
                <w:spacing w:val="8"/>
                <w:sz w:val="21"/>
                <w:szCs w:val="21"/>
                <w:highlight w:val="none"/>
                <w:lang w:val="en-US" w:eastAsia="zh-CN"/>
              </w:rPr>
              <w:t>1.系统建设方案：</w:t>
            </w:r>
            <w:r>
              <w:rPr>
                <w:rFonts w:hint="eastAsia"/>
                <w:spacing w:val="8"/>
                <w:sz w:val="21"/>
                <w:szCs w:val="21"/>
                <w:highlight w:val="none"/>
                <w:lang w:val="en-US" w:eastAsia="zh-CN"/>
              </w:rPr>
              <w:t>切实可行、高效稳定的系统建设方案。对云平台的标准化实施进行明确的定义及分解，并提出详尽的实施方案，内容应包括但不限于实施策略、责任矩阵、项目实施流程、实施管理制度、项目管理、实施进度计划及保障、新老系统切换等。</w:t>
            </w:r>
          </w:p>
        </w:tc>
        <w:tc>
          <w:tcPr>
            <w:tcW w:w="562" w:type="dxa"/>
            <w:vAlign w:val="center"/>
          </w:tcPr>
          <w:p w14:paraId="6DD071EC">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5</w:t>
            </w:r>
          </w:p>
        </w:tc>
        <w:tc>
          <w:tcPr>
            <w:tcW w:w="472" w:type="dxa"/>
            <w:vAlign w:val="center"/>
          </w:tcPr>
          <w:p w14:paraId="080C7CAC">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3</w:t>
            </w:r>
          </w:p>
        </w:tc>
        <w:tc>
          <w:tcPr>
            <w:tcW w:w="499" w:type="dxa"/>
            <w:tcBorders>
              <w:right w:val="single" w:color="auto" w:sz="4" w:space="0"/>
            </w:tcBorders>
            <w:vAlign w:val="center"/>
          </w:tcPr>
          <w:p w14:paraId="60A5D0D3">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1</w:t>
            </w:r>
          </w:p>
        </w:tc>
      </w:tr>
      <w:tr w14:paraId="7493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712" w:type="dxa"/>
            <w:vMerge w:val="continue"/>
            <w:vAlign w:val="center"/>
          </w:tcPr>
          <w:p w14:paraId="07B45B38">
            <w:pPr>
              <w:spacing w:line="244" w:lineRule="auto"/>
              <w:jc w:val="center"/>
              <w:rPr>
                <w:rFonts w:hint="eastAsia" w:ascii="宋体" w:hAnsi="宋体" w:eastAsia="宋体" w:cs="宋体"/>
                <w:sz w:val="21"/>
                <w:szCs w:val="21"/>
                <w:highlight w:val="none"/>
                <w:lang w:val="en-US" w:eastAsia="zh-CN"/>
              </w:rPr>
            </w:pPr>
          </w:p>
        </w:tc>
        <w:tc>
          <w:tcPr>
            <w:tcW w:w="1624" w:type="dxa"/>
            <w:vMerge w:val="continue"/>
            <w:vAlign w:val="center"/>
          </w:tcPr>
          <w:p w14:paraId="650542D8">
            <w:pPr>
              <w:pStyle w:val="17"/>
              <w:spacing w:before="49" w:line="230" w:lineRule="auto"/>
              <w:jc w:val="center"/>
              <w:rPr>
                <w:b/>
                <w:bCs/>
                <w:spacing w:val="-3"/>
                <w:sz w:val="21"/>
                <w:szCs w:val="21"/>
                <w:highlight w:val="none"/>
              </w:rPr>
            </w:pPr>
          </w:p>
        </w:tc>
        <w:tc>
          <w:tcPr>
            <w:tcW w:w="5793" w:type="dxa"/>
            <w:vAlign w:val="top"/>
          </w:tcPr>
          <w:p w14:paraId="31614BE9">
            <w:pPr>
              <w:pStyle w:val="17"/>
              <w:spacing w:before="6" w:line="238" w:lineRule="auto"/>
              <w:ind w:left="21" w:right="158" w:hanging="2"/>
              <w:rPr>
                <w:rFonts w:hint="eastAsia" w:eastAsia="宋体"/>
                <w:b/>
                <w:bCs/>
                <w:spacing w:val="8"/>
                <w:sz w:val="21"/>
                <w:szCs w:val="21"/>
                <w:highlight w:val="none"/>
                <w:lang w:val="en-US" w:eastAsia="zh-CN"/>
              </w:rPr>
            </w:pPr>
            <w:r>
              <w:rPr>
                <w:rFonts w:hint="eastAsia"/>
                <w:b/>
                <w:bCs/>
                <w:spacing w:val="8"/>
                <w:sz w:val="21"/>
                <w:szCs w:val="21"/>
                <w:highlight w:val="none"/>
                <w:lang w:val="en-US" w:eastAsia="zh-CN"/>
              </w:rPr>
              <w:t>2.功能全面性：</w:t>
            </w:r>
            <w:r>
              <w:rPr>
                <w:rFonts w:hint="eastAsia"/>
                <w:b w:val="0"/>
                <w:bCs w:val="0"/>
                <w:spacing w:val="8"/>
                <w:sz w:val="21"/>
                <w:szCs w:val="21"/>
                <w:highlight w:val="none"/>
                <w:lang w:val="en-US" w:eastAsia="zh-CN"/>
              </w:rPr>
              <w:t>（1）功能齐全</w:t>
            </w:r>
            <w:r>
              <w:rPr>
                <w:rFonts w:hint="eastAsia" w:cs="宋体"/>
                <w:b w:val="0"/>
                <w:bCs w:val="0"/>
                <w:spacing w:val="8"/>
                <w:sz w:val="21"/>
                <w:szCs w:val="21"/>
                <w:highlight w:val="none"/>
                <w:lang w:val="en-US" w:eastAsia="zh-CN"/>
              </w:rPr>
              <w:t>，</w:t>
            </w:r>
            <w:r>
              <w:rPr>
                <w:rFonts w:hint="eastAsia"/>
                <w:b w:val="0"/>
                <w:bCs w:val="0"/>
                <w:spacing w:val="3"/>
                <w:sz w:val="21"/>
                <w:szCs w:val="21"/>
                <w:highlight w:val="none"/>
                <w:lang w:val="en-US" w:eastAsia="zh-CN"/>
              </w:rPr>
              <w:t>且</w:t>
            </w:r>
            <w:r>
              <w:rPr>
                <w:rFonts w:hint="eastAsia" w:cs="宋体"/>
                <w:b w:val="0"/>
                <w:bCs w:val="0"/>
                <w:spacing w:val="8"/>
                <w:sz w:val="21"/>
                <w:szCs w:val="21"/>
                <w:highlight w:val="none"/>
                <w:lang w:val="en-US" w:eastAsia="zh-CN"/>
              </w:rPr>
              <w:t>各项服务支撑全面、有效。</w:t>
            </w:r>
            <w:r>
              <w:rPr>
                <w:rFonts w:hint="eastAsia"/>
                <w:b w:val="0"/>
                <w:bCs w:val="0"/>
                <w:spacing w:val="8"/>
                <w:sz w:val="21"/>
                <w:szCs w:val="21"/>
                <w:highlight w:val="none"/>
                <w:lang w:val="en-US" w:eastAsia="zh-CN"/>
              </w:rPr>
              <w:t>政用端平台</w:t>
            </w:r>
            <w:r>
              <w:rPr>
                <w:rFonts w:hint="eastAsia" w:cs="宋体"/>
                <w:b w:val="0"/>
                <w:bCs w:val="0"/>
                <w:spacing w:val="8"/>
                <w:sz w:val="21"/>
                <w:szCs w:val="21"/>
                <w:highlight w:val="none"/>
                <w:lang w:val="en-US" w:eastAsia="zh-CN"/>
              </w:rPr>
              <w:t>包含</w:t>
            </w:r>
            <w:r>
              <w:rPr>
                <w:rFonts w:hint="eastAsia"/>
                <w:b w:val="0"/>
                <w:bCs w:val="0"/>
                <w:spacing w:val="8"/>
                <w:sz w:val="21"/>
                <w:szCs w:val="21"/>
                <w:highlight w:val="none"/>
                <w:lang w:val="en-US" w:eastAsia="zh-CN"/>
              </w:rPr>
              <w:t>资质审核、备案审批、政策发布、数据统、评价管理等功能。</w:t>
            </w:r>
            <w:r>
              <w:rPr>
                <w:rFonts w:hint="eastAsia" w:cs="宋体"/>
                <w:b w:val="0"/>
                <w:bCs w:val="0"/>
                <w:spacing w:val="8"/>
                <w:sz w:val="21"/>
                <w:szCs w:val="21"/>
                <w:highlight w:val="none"/>
                <w:lang w:val="en-US" w:eastAsia="zh-CN"/>
              </w:rPr>
              <w:t>各项功能服务支撑全面且有效；</w:t>
            </w:r>
            <w:r>
              <w:rPr>
                <w:rFonts w:hint="eastAsia"/>
                <w:b w:val="0"/>
                <w:bCs w:val="0"/>
                <w:spacing w:val="3"/>
                <w:sz w:val="21"/>
                <w:szCs w:val="21"/>
                <w:highlight w:val="none"/>
                <w:lang w:val="en-US" w:eastAsia="zh-CN"/>
              </w:rPr>
              <w:t>商用端平台</w:t>
            </w:r>
            <w:r>
              <w:rPr>
                <w:rFonts w:hint="eastAsia" w:cs="宋体"/>
                <w:b w:val="0"/>
                <w:bCs w:val="0"/>
                <w:spacing w:val="8"/>
                <w:sz w:val="21"/>
                <w:szCs w:val="21"/>
                <w:highlight w:val="none"/>
                <w:lang w:val="en-US" w:eastAsia="zh-CN"/>
              </w:rPr>
              <w:t>包含</w:t>
            </w:r>
            <w:r>
              <w:rPr>
                <w:rFonts w:hint="eastAsia"/>
                <w:b w:val="0"/>
                <w:bCs w:val="0"/>
                <w:spacing w:val="3"/>
                <w:sz w:val="21"/>
                <w:szCs w:val="21"/>
                <w:highlight w:val="none"/>
                <w:lang w:val="en-US" w:eastAsia="zh-CN"/>
              </w:rPr>
              <w:t>产品展示、活动发布、报名缴费、订单管理、财务管理等功能。（2）数据深度整合。</w:t>
            </w:r>
            <w:r>
              <w:rPr>
                <w:rFonts w:hint="eastAsia"/>
                <w:spacing w:val="3"/>
                <w:sz w:val="21"/>
                <w:szCs w:val="21"/>
                <w:highlight w:val="none"/>
                <w:lang w:val="en-US" w:eastAsia="zh-CN"/>
              </w:rPr>
              <w:t>整合研学基地、课程资源、师资力量等信息，形成区域化资源库，并与学校现有管理系统（如 OA、学生信息系统）无缝对接，实现数据互通。</w:t>
            </w:r>
            <w:r>
              <w:rPr>
                <w:rFonts w:hint="eastAsia"/>
                <w:spacing w:val="3"/>
                <w:sz w:val="21"/>
                <w:szCs w:val="21"/>
                <w:highlight w:val="none"/>
                <w:lang w:eastAsia="zh-CN"/>
              </w:rPr>
              <w:t>（</w:t>
            </w:r>
            <w:r>
              <w:rPr>
                <w:rFonts w:hint="eastAsia"/>
                <w:spacing w:val="3"/>
                <w:sz w:val="21"/>
                <w:szCs w:val="21"/>
                <w:highlight w:val="none"/>
                <w:lang w:val="en-US" w:eastAsia="zh-CN"/>
              </w:rPr>
              <w:t>3</w:t>
            </w:r>
            <w:r>
              <w:rPr>
                <w:rFonts w:hint="eastAsia"/>
                <w:spacing w:val="3"/>
                <w:sz w:val="21"/>
                <w:szCs w:val="21"/>
                <w:highlight w:val="none"/>
                <w:lang w:eastAsia="zh-CN"/>
              </w:rPr>
              <w:t>）</w:t>
            </w:r>
            <w:r>
              <w:rPr>
                <w:rFonts w:hint="eastAsia"/>
                <w:b w:val="0"/>
                <w:bCs w:val="0"/>
                <w:spacing w:val="3"/>
                <w:sz w:val="21"/>
                <w:szCs w:val="21"/>
                <w:highlight w:val="none"/>
                <w:lang w:val="en-US" w:eastAsia="zh-CN"/>
              </w:rPr>
              <w:t>多角色协同支持</w:t>
            </w:r>
            <w:r>
              <w:rPr>
                <w:rFonts w:hint="eastAsia"/>
                <w:b w:val="0"/>
                <w:bCs w:val="0"/>
                <w:spacing w:val="3"/>
                <w:sz w:val="21"/>
                <w:szCs w:val="21"/>
                <w:highlight w:val="none"/>
                <w:lang w:eastAsia="zh-CN"/>
              </w:rPr>
              <w:t>。家校共育，提供家长端入口，支持活动报名、进度查询、在线评价等管理。教师与管理员支持，为教师提供活动设计模板库、学情分析报告、智能分组工具；为教育部门提供区域数据驾驶舱，实现多维度画像（学生、班级、学校、区域）与决策支持</w:t>
            </w:r>
            <w:r>
              <w:rPr>
                <w:rFonts w:hint="eastAsia"/>
                <w:b/>
                <w:bCs/>
                <w:spacing w:val="3"/>
                <w:sz w:val="21"/>
                <w:szCs w:val="21"/>
                <w:highlight w:val="none"/>
                <w:lang w:eastAsia="zh-CN"/>
              </w:rPr>
              <w:t>。</w:t>
            </w:r>
          </w:p>
        </w:tc>
        <w:tc>
          <w:tcPr>
            <w:tcW w:w="562" w:type="dxa"/>
            <w:vAlign w:val="center"/>
          </w:tcPr>
          <w:p w14:paraId="746D8AB4">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6</w:t>
            </w:r>
          </w:p>
        </w:tc>
        <w:tc>
          <w:tcPr>
            <w:tcW w:w="472" w:type="dxa"/>
            <w:vAlign w:val="center"/>
          </w:tcPr>
          <w:p w14:paraId="030CB5A4">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4</w:t>
            </w:r>
          </w:p>
        </w:tc>
        <w:tc>
          <w:tcPr>
            <w:tcW w:w="499" w:type="dxa"/>
            <w:tcBorders>
              <w:right w:val="single" w:color="auto" w:sz="4" w:space="0"/>
            </w:tcBorders>
            <w:vAlign w:val="center"/>
          </w:tcPr>
          <w:p w14:paraId="67547BFB">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2</w:t>
            </w:r>
          </w:p>
        </w:tc>
      </w:tr>
      <w:tr w14:paraId="6C9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12" w:type="dxa"/>
            <w:vMerge w:val="continue"/>
            <w:vAlign w:val="center"/>
          </w:tcPr>
          <w:p w14:paraId="0E7D9DA4">
            <w:pPr>
              <w:spacing w:line="244" w:lineRule="auto"/>
              <w:jc w:val="center"/>
              <w:rPr>
                <w:rFonts w:hint="eastAsia" w:ascii="宋体" w:hAnsi="宋体" w:eastAsia="宋体" w:cs="宋体"/>
                <w:sz w:val="21"/>
                <w:szCs w:val="21"/>
                <w:highlight w:val="none"/>
                <w:lang w:val="en-US" w:eastAsia="zh-CN"/>
              </w:rPr>
            </w:pPr>
          </w:p>
        </w:tc>
        <w:tc>
          <w:tcPr>
            <w:tcW w:w="1624" w:type="dxa"/>
            <w:vMerge w:val="continue"/>
            <w:vAlign w:val="center"/>
          </w:tcPr>
          <w:p w14:paraId="03DE9F7E">
            <w:pPr>
              <w:pStyle w:val="17"/>
              <w:spacing w:before="49" w:line="230" w:lineRule="auto"/>
              <w:jc w:val="center"/>
              <w:rPr>
                <w:b/>
                <w:bCs/>
                <w:spacing w:val="-3"/>
                <w:sz w:val="21"/>
                <w:szCs w:val="21"/>
                <w:highlight w:val="none"/>
              </w:rPr>
            </w:pPr>
          </w:p>
        </w:tc>
        <w:tc>
          <w:tcPr>
            <w:tcW w:w="5793" w:type="dxa"/>
            <w:vAlign w:val="top"/>
          </w:tcPr>
          <w:p w14:paraId="2885D5E3">
            <w:pPr>
              <w:pStyle w:val="17"/>
              <w:spacing w:before="6" w:line="238" w:lineRule="auto"/>
              <w:ind w:left="21" w:right="158" w:hanging="2"/>
              <w:rPr>
                <w:rFonts w:hint="eastAsia"/>
                <w:spacing w:val="3"/>
                <w:sz w:val="21"/>
                <w:szCs w:val="21"/>
                <w:highlight w:val="none"/>
                <w:lang w:val="en-US" w:eastAsia="zh-CN"/>
              </w:rPr>
            </w:pPr>
            <w:r>
              <w:rPr>
                <w:rFonts w:hint="eastAsia"/>
                <w:b/>
                <w:bCs/>
                <w:spacing w:val="3"/>
                <w:sz w:val="21"/>
                <w:szCs w:val="21"/>
                <w:highlight w:val="none"/>
                <w:lang w:val="en-US" w:eastAsia="zh-CN"/>
              </w:rPr>
              <w:t>3.便捷性：</w:t>
            </w:r>
            <w:r>
              <w:rPr>
                <w:rFonts w:hint="eastAsia"/>
                <w:b w:val="0"/>
                <w:bCs w:val="0"/>
                <w:spacing w:val="3"/>
                <w:sz w:val="21"/>
                <w:szCs w:val="21"/>
                <w:highlight w:val="none"/>
                <w:lang w:val="en-US" w:eastAsia="zh-CN"/>
              </w:rPr>
              <w:t>（1）多终端无缝衔接，移动端</w:t>
            </w:r>
            <w:r>
              <w:rPr>
                <w:rFonts w:hint="eastAsia"/>
                <w:b w:val="0"/>
                <w:bCs w:val="0"/>
                <w:spacing w:val="3"/>
                <w:sz w:val="21"/>
                <w:szCs w:val="21"/>
                <w:highlight w:val="none"/>
                <w:lang w:eastAsia="zh-CN"/>
              </w:rPr>
              <w:t>确保教师、学生、家长随时随地使用。系统需兼容 PC、平板</w:t>
            </w:r>
            <w:r>
              <w:rPr>
                <w:rFonts w:hint="eastAsia"/>
                <w:b w:val="0"/>
                <w:bCs w:val="0"/>
                <w:spacing w:val="3"/>
                <w:sz w:val="21"/>
                <w:szCs w:val="21"/>
                <w:highlight w:val="none"/>
                <w:lang w:val="en-US" w:eastAsia="zh-CN"/>
              </w:rPr>
              <w:t>等</w:t>
            </w:r>
            <w:r>
              <w:rPr>
                <w:rFonts w:hint="eastAsia"/>
                <w:b w:val="0"/>
                <w:bCs w:val="0"/>
                <w:spacing w:val="3"/>
                <w:sz w:val="21"/>
                <w:szCs w:val="21"/>
                <w:highlight w:val="none"/>
                <w:lang w:eastAsia="zh-CN"/>
              </w:rPr>
              <w:t>设备，且界面适配性</w:t>
            </w:r>
            <w:r>
              <w:rPr>
                <w:rFonts w:hint="eastAsia"/>
                <w:b w:val="0"/>
                <w:bCs w:val="0"/>
                <w:spacing w:val="3"/>
                <w:sz w:val="21"/>
                <w:szCs w:val="21"/>
                <w:highlight w:val="none"/>
                <w:lang w:val="en-US" w:eastAsia="zh-CN"/>
              </w:rPr>
              <w:t>强；</w:t>
            </w:r>
            <w:r>
              <w:rPr>
                <w:rFonts w:hint="eastAsia"/>
                <w:b w:val="0"/>
                <w:bCs w:val="0"/>
                <w:spacing w:val="3"/>
                <w:sz w:val="21"/>
                <w:szCs w:val="21"/>
                <w:highlight w:val="none"/>
                <w:lang w:eastAsia="zh-CN"/>
              </w:rPr>
              <w:t>（</w:t>
            </w:r>
            <w:r>
              <w:rPr>
                <w:rFonts w:hint="eastAsia"/>
                <w:b w:val="0"/>
                <w:bCs w:val="0"/>
                <w:spacing w:val="3"/>
                <w:sz w:val="21"/>
                <w:szCs w:val="21"/>
                <w:highlight w:val="none"/>
                <w:lang w:val="en-US" w:eastAsia="zh-CN"/>
              </w:rPr>
              <w:t>2</w:t>
            </w:r>
            <w:r>
              <w:rPr>
                <w:rFonts w:hint="eastAsia"/>
                <w:b w:val="0"/>
                <w:bCs w:val="0"/>
                <w:spacing w:val="3"/>
                <w:sz w:val="21"/>
                <w:szCs w:val="21"/>
                <w:highlight w:val="none"/>
                <w:lang w:eastAsia="zh-CN"/>
              </w:rPr>
              <w:t>）支持活动发布、审批、通知的自动化流转；（</w:t>
            </w:r>
            <w:r>
              <w:rPr>
                <w:rFonts w:hint="eastAsia"/>
                <w:b w:val="0"/>
                <w:bCs w:val="0"/>
                <w:spacing w:val="3"/>
                <w:sz w:val="21"/>
                <w:szCs w:val="21"/>
                <w:highlight w:val="none"/>
                <w:lang w:val="en-US" w:eastAsia="zh-CN"/>
              </w:rPr>
              <w:t>3</w:t>
            </w:r>
            <w:r>
              <w:rPr>
                <w:rFonts w:hint="eastAsia"/>
                <w:b w:val="0"/>
                <w:bCs w:val="0"/>
                <w:spacing w:val="3"/>
                <w:sz w:val="21"/>
                <w:szCs w:val="21"/>
                <w:highlight w:val="none"/>
                <w:lang w:eastAsia="zh-CN"/>
              </w:rPr>
              <w:t>）数据自动采集，</w:t>
            </w:r>
            <w:r>
              <w:rPr>
                <w:rFonts w:hint="eastAsia"/>
                <w:b w:val="0"/>
                <w:bCs w:val="0"/>
                <w:spacing w:val="3"/>
                <w:sz w:val="21"/>
                <w:szCs w:val="21"/>
                <w:highlight w:val="none"/>
                <w:lang w:val="en-US" w:eastAsia="zh-CN"/>
              </w:rPr>
              <w:t>实现</w:t>
            </w:r>
            <w:r>
              <w:rPr>
                <w:rFonts w:hint="eastAsia"/>
                <w:b w:val="0"/>
                <w:bCs w:val="0"/>
                <w:spacing w:val="3"/>
                <w:sz w:val="21"/>
                <w:szCs w:val="21"/>
                <w:highlight w:val="none"/>
                <w:lang w:eastAsia="zh-CN"/>
              </w:rPr>
              <w:t>第三方平台对接。</w:t>
            </w:r>
          </w:p>
        </w:tc>
        <w:tc>
          <w:tcPr>
            <w:tcW w:w="562" w:type="dxa"/>
            <w:vAlign w:val="center"/>
          </w:tcPr>
          <w:p w14:paraId="26E47938">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6</w:t>
            </w:r>
          </w:p>
        </w:tc>
        <w:tc>
          <w:tcPr>
            <w:tcW w:w="472" w:type="dxa"/>
            <w:vAlign w:val="center"/>
          </w:tcPr>
          <w:p w14:paraId="0F76E4B2">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4</w:t>
            </w:r>
          </w:p>
        </w:tc>
        <w:tc>
          <w:tcPr>
            <w:tcW w:w="499" w:type="dxa"/>
            <w:tcBorders>
              <w:right w:val="single" w:color="auto" w:sz="4" w:space="0"/>
            </w:tcBorders>
            <w:vAlign w:val="center"/>
          </w:tcPr>
          <w:p w14:paraId="66A76C18">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2</w:t>
            </w:r>
          </w:p>
        </w:tc>
      </w:tr>
      <w:tr w14:paraId="252A8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12" w:type="dxa"/>
            <w:vAlign w:val="center"/>
          </w:tcPr>
          <w:p w14:paraId="16EF7524">
            <w:pPr>
              <w:spacing w:line="244" w:lineRule="auto"/>
              <w:jc w:val="center"/>
              <w:rPr>
                <w:rFonts w:hint="eastAsia" w:ascii="宋体" w:hAnsi="宋体" w:eastAsia="宋体" w:cs="宋体"/>
                <w:sz w:val="21"/>
                <w:szCs w:val="21"/>
                <w:highlight w:val="none"/>
                <w:lang w:val="en-US" w:eastAsia="zh-CN"/>
              </w:rPr>
            </w:pPr>
          </w:p>
        </w:tc>
        <w:tc>
          <w:tcPr>
            <w:tcW w:w="1624" w:type="dxa"/>
            <w:vMerge w:val="continue"/>
            <w:vAlign w:val="center"/>
          </w:tcPr>
          <w:p w14:paraId="2BE835EA">
            <w:pPr>
              <w:pStyle w:val="17"/>
              <w:spacing w:before="49" w:line="230" w:lineRule="auto"/>
              <w:jc w:val="center"/>
              <w:rPr>
                <w:b/>
                <w:bCs/>
                <w:spacing w:val="-3"/>
                <w:sz w:val="21"/>
                <w:szCs w:val="21"/>
                <w:highlight w:val="none"/>
              </w:rPr>
            </w:pPr>
          </w:p>
        </w:tc>
        <w:tc>
          <w:tcPr>
            <w:tcW w:w="5793" w:type="dxa"/>
            <w:vAlign w:val="top"/>
          </w:tcPr>
          <w:p w14:paraId="623AC886">
            <w:pPr>
              <w:pStyle w:val="17"/>
              <w:spacing w:before="6" w:line="238" w:lineRule="auto"/>
              <w:ind w:left="21" w:right="158" w:hanging="2"/>
              <w:rPr>
                <w:rFonts w:hint="eastAsia" w:eastAsia="宋体"/>
                <w:b/>
                <w:bCs/>
                <w:spacing w:val="3"/>
                <w:sz w:val="21"/>
                <w:szCs w:val="21"/>
                <w:highlight w:val="none"/>
                <w:lang w:val="en-US" w:eastAsia="zh-CN"/>
              </w:rPr>
            </w:pPr>
            <w:r>
              <w:rPr>
                <w:rFonts w:hint="eastAsia"/>
                <w:b/>
                <w:bCs/>
                <w:spacing w:val="3"/>
                <w:sz w:val="21"/>
                <w:szCs w:val="21"/>
                <w:highlight w:val="none"/>
                <w:lang w:val="en-US" w:eastAsia="zh-CN"/>
              </w:rPr>
              <w:t>4.易用性：</w:t>
            </w:r>
            <w:r>
              <w:rPr>
                <w:rFonts w:hint="eastAsia"/>
                <w:b w:val="0"/>
                <w:bCs w:val="0"/>
                <w:spacing w:val="3"/>
                <w:sz w:val="21"/>
                <w:szCs w:val="21"/>
                <w:highlight w:val="none"/>
                <w:lang w:val="en-US" w:eastAsia="zh-CN"/>
              </w:rPr>
              <w:t>（1）界面设计与交互友好，用户体验感好；（2）低学习成本，新用户能快速上手应用；（3）个性化适配全面。根据不同用户角色定制工作界面，根据用户操作习惯优化功能排序。</w:t>
            </w:r>
          </w:p>
        </w:tc>
        <w:tc>
          <w:tcPr>
            <w:tcW w:w="562" w:type="dxa"/>
            <w:vAlign w:val="center"/>
          </w:tcPr>
          <w:p w14:paraId="5A96E509">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4</w:t>
            </w:r>
          </w:p>
        </w:tc>
        <w:tc>
          <w:tcPr>
            <w:tcW w:w="472" w:type="dxa"/>
            <w:vAlign w:val="center"/>
          </w:tcPr>
          <w:p w14:paraId="7D1264B7">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2</w:t>
            </w:r>
          </w:p>
        </w:tc>
        <w:tc>
          <w:tcPr>
            <w:tcW w:w="499" w:type="dxa"/>
            <w:tcBorders>
              <w:right w:val="single" w:color="auto" w:sz="4" w:space="0"/>
            </w:tcBorders>
            <w:vAlign w:val="center"/>
          </w:tcPr>
          <w:p w14:paraId="53CC85CD">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1</w:t>
            </w:r>
          </w:p>
        </w:tc>
      </w:tr>
      <w:tr w14:paraId="331C9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12" w:type="dxa"/>
            <w:vAlign w:val="center"/>
          </w:tcPr>
          <w:p w14:paraId="08D26AA1">
            <w:pPr>
              <w:spacing w:line="244" w:lineRule="auto"/>
              <w:jc w:val="center"/>
              <w:rPr>
                <w:rFonts w:hint="eastAsia" w:ascii="宋体" w:hAnsi="宋体" w:eastAsia="宋体" w:cs="宋体"/>
                <w:sz w:val="21"/>
                <w:szCs w:val="21"/>
                <w:highlight w:val="none"/>
                <w:lang w:val="en-US" w:eastAsia="zh-CN"/>
              </w:rPr>
            </w:pPr>
          </w:p>
        </w:tc>
        <w:tc>
          <w:tcPr>
            <w:tcW w:w="1624" w:type="dxa"/>
            <w:vMerge w:val="continue"/>
            <w:vAlign w:val="center"/>
          </w:tcPr>
          <w:p w14:paraId="418FEEDF">
            <w:pPr>
              <w:pStyle w:val="17"/>
              <w:spacing w:before="49" w:line="230" w:lineRule="auto"/>
              <w:jc w:val="center"/>
              <w:rPr>
                <w:b/>
                <w:bCs/>
                <w:spacing w:val="-3"/>
                <w:sz w:val="21"/>
                <w:szCs w:val="21"/>
                <w:highlight w:val="none"/>
              </w:rPr>
            </w:pPr>
          </w:p>
        </w:tc>
        <w:tc>
          <w:tcPr>
            <w:tcW w:w="5793" w:type="dxa"/>
            <w:vAlign w:val="top"/>
          </w:tcPr>
          <w:p w14:paraId="31748BA6">
            <w:pPr>
              <w:pStyle w:val="17"/>
              <w:spacing w:before="6" w:line="238" w:lineRule="auto"/>
              <w:ind w:left="21" w:right="158" w:hanging="2"/>
              <w:rPr>
                <w:rFonts w:hint="eastAsia" w:eastAsia="宋体"/>
                <w:b/>
                <w:bCs/>
                <w:spacing w:val="3"/>
                <w:sz w:val="21"/>
                <w:szCs w:val="21"/>
                <w:highlight w:val="none"/>
                <w:lang w:val="en-US" w:eastAsia="zh-CN"/>
              </w:rPr>
            </w:pPr>
            <w:r>
              <w:rPr>
                <w:rFonts w:hint="eastAsia" w:cs="宋体"/>
                <w:b/>
                <w:bCs/>
                <w:snapToGrid w:val="0"/>
                <w:color w:val="000000"/>
                <w:spacing w:val="8"/>
                <w:kern w:val="0"/>
                <w:sz w:val="21"/>
                <w:szCs w:val="21"/>
                <w:highlight w:val="none"/>
                <w:lang w:val="en-US" w:eastAsia="zh-CN" w:bidi="ar-SA"/>
              </w:rPr>
              <w:t>5.</w:t>
            </w:r>
            <w:r>
              <w:rPr>
                <w:rFonts w:hint="eastAsia" w:ascii="宋体" w:hAnsi="宋体" w:eastAsia="宋体" w:cs="宋体"/>
                <w:b/>
                <w:bCs/>
                <w:snapToGrid w:val="0"/>
                <w:color w:val="000000"/>
                <w:spacing w:val="8"/>
                <w:kern w:val="0"/>
                <w:sz w:val="21"/>
                <w:szCs w:val="21"/>
                <w:highlight w:val="none"/>
                <w:lang w:val="en-US" w:eastAsia="zh-CN" w:bidi="ar-SA"/>
              </w:rPr>
              <w:t>稳定性与安全性：</w:t>
            </w:r>
            <w:r>
              <w:rPr>
                <w:rFonts w:hint="eastAsia" w:ascii="宋体" w:hAnsi="宋体" w:eastAsia="宋体" w:cs="宋体"/>
                <w:snapToGrid w:val="0"/>
                <w:color w:val="000000"/>
                <w:spacing w:val="8"/>
                <w:kern w:val="0"/>
                <w:sz w:val="21"/>
                <w:szCs w:val="21"/>
                <w:highlight w:val="none"/>
                <w:lang w:val="en-US" w:eastAsia="zh-CN" w:bidi="ar-SA"/>
              </w:rPr>
              <w:t>（1）技术架构与数据处理</w:t>
            </w:r>
            <w:r>
              <w:rPr>
                <w:rFonts w:ascii="宋体" w:hAnsi="宋体" w:eastAsia="宋体" w:cs="宋体"/>
                <w:snapToGrid w:val="0"/>
                <w:color w:val="000000"/>
                <w:spacing w:val="8"/>
                <w:kern w:val="0"/>
                <w:sz w:val="21"/>
                <w:szCs w:val="21"/>
                <w:highlight w:val="none"/>
                <w:lang w:val="en-US" w:eastAsia="en-US" w:bidi="ar-SA"/>
              </w:rPr>
              <w:t>满足</w:t>
            </w:r>
            <w:r>
              <w:rPr>
                <w:rFonts w:hint="eastAsia" w:cs="宋体"/>
                <w:snapToGrid w:val="0"/>
                <w:color w:val="000000"/>
                <w:spacing w:val="8"/>
                <w:kern w:val="0"/>
                <w:sz w:val="21"/>
                <w:szCs w:val="21"/>
                <w:highlight w:val="none"/>
                <w:lang w:val="en-US" w:eastAsia="zh-CN" w:bidi="ar-SA"/>
              </w:rPr>
              <w:t>全岳阳市</w:t>
            </w:r>
            <w:r>
              <w:rPr>
                <w:rFonts w:ascii="宋体" w:hAnsi="宋体" w:eastAsia="宋体" w:cs="宋体"/>
                <w:snapToGrid w:val="0"/>
                <w:color w:val="000000"/>
                <w:spacing w:val="8"/>
                <w:kern w:val="0"/>
                <w:sz w:val="21"/>
                <w:szCs w:val="21"/>
                <w:highlight w:val="none"/>
                <w:lang w:val="en-US" w:eastAsia="en-US" w:bidi="ar-SA"/>
              </w:rPr>
              <w:t>内多校同时使用的需求</w:t>
            </w:r>
            <w:r>
              <w:rPr>
                <w:rFonts w:hint="eastAsia" w:ascii="宋体" w:hAnsi="宋体" w:eastAsia="宋体" w:cs="宋体"/>
                <w:snapToGrid w:val="0"/>
                <w:color w:val="000000"/>
                <w:spacing w:val="8"/>
                <w:kern w:val="0"/>
                <w:sz w:val="21"/>
                <w:szCs w:val="21"/>
                <w:highlight w:val="none"/>
                <w:lang w:val="en-US" w:eastAsia="zh-CN" w:bidi="ar-SA"/>
              </w:rPr>
              <w:t>；</w:t>
            </w:r>
            <w:r>
              <w:rPr>
                <w:rFonts w:ascii="宋体" w:hAnsi="宋体" w:eastAsia="宋体" w:cs="宋体"/>
                <w:snapToGrid w:val="0"/>
                <w:color w:val="000000"/>
                <w:spacing w:val="8"/>
                <w:kern w:val="0"/>
                <w:sz w:val="21"/>
                <w:szCs w:val="21"/>
                <w:highlight w:val="none"/>
                <w:lang w:val="en-US" w:eastAsia="en-US" w:bidi="ar-SA"/>
              </w:rPr>
              <w:t>支持实时生成区域数据驾驶舱，涵盖活动参与率、学生成长趋势、资源使用效率等指标，为教育决策提供依据</w:t>
            </w:r>
            <w:r>
              <w:rPr>
                <w:rFonts w:hint="eastAsia" w:ascii="宋体" w:hAnsi="宋体" w:eastAsia="宋体" w:cs="宋体"/>
                <w:snapToGrid w:val="0"/>
                <w:color w:val="000000"/>
                <w:spacing w:val="8"/>
                <w:kern w:val="0"/>
                <w:sz w:val="21"/>
                <w:szCs w:val="21"/>
                <w:highlight w:val="none"/>
                <w:lang w:val="en-US" w:eastAsia="zh-CN" w:bidi="ar-SA"/>
              </w:rPr>
              <w:t>；（2）安全与隐私保护。实现数据加密与备份；实现</w:t>
            </w:r>
            <w:r>
              <w:rPr>
                <w:rFonts w:ascii="宋体" w:hAnsi="宋体" w:eastAsia="宋体" w:cs="宋体"/>
                <w:snapToGrid w:val="0"/>
                <w:color w:val="000000"/>
                <w:spacing w:val="8"/>
                <w:kern w:val="0"/>
                <w:sz w:val="21"/>
                <w:szCs w:val="21"/>
                <w:highlight w:val="none"/>
                <w:lang w:val="en-US" w:eastAsia="en-US" w:bidi="ar-SA"/>
              </w:rPr>
              <w:t>分级权限管理</w:t>
            </w:r>
            <w:r>
              <w:rPr>
                <w:rFonts w:hint="eastAsia" w:ascii="宋体" w:hAnsi="宋体" w:eastAsia="宋体" w:cs="宋体"/>
                <w:snapToGrid w:val="0"/>
                <w:color w:val="000000"/>
                <w:spacing w:val="8"/>
                <w:kern w:val="0"/>
                <w:sz w:val="21"/>
                <w:szCs w:val="21"/>
                <w:highlight w:val="none"/>
                <w:lang w:val="en-US" w:eastAsia="zh-CN" w:bidi="ar-SA"/>
              </w:rPr>
              <w:t>。</w:t>
            </w:r>
          </w:p>
        </w:tc>
        <w:tc>
          <w:tcPr>
            <w:tcW w:w="562" w:type="dxa"/>
            <w:vAlign w:val="center"/>
          </w:tcPr>
          <w:p w14:paraId="20CFAD8F">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4</w:t>
            </w:r>
          </w:p>
        </w:tc>
        <w:tc>
          <w:tcPr>
            <w:tcW w:w="472" w:type="dxa"/>
            <w:vAlign w:val="center"/>
          </w:tcPr>
          <w:p w14:paraId="75D51FAC">
            <w:pPr>
              <w:pStyle w:val="17"/>
              <w:spacing w:before="49" w:line="203" w:lineRule="exact"/>
              <w:ind w:left="318"/>
              <w:jc w:val="center"/>
              <w:rPr>
                <w:rFonts w:hint="default"/>
                <w:position w:val="1"/>
                <w:sz w:val="21"/>
                <w:szCs w:val="21"/>
                <w:highlight w:val="none"/>
                <w:lang w:val="en-US" w:eastAsia="zh-CN"/>
              </w:rPr>
            </w:pPr>
            <w:r>
              <w:rPr>
                <w:rFonts w:hint="eastAsia"/>
                <w:position w:val="1"/>
                <w:sz w:val="21"/>
                <w:szCs w:val="21"/>
                <w:highlight w:val="none"/>
                <w:lang w:val="en-US" w:eastAsia="zh-CN"/>
              </w:rPr>
              <w:t>2</w:t>
            </w:r>
          </w:p>
        </w:tc>
        <w:tc>
          <w:tcPr>
            <w:tcW w:w="499" w:type="dxa"/>
            <w:tcBorders>
              <w:right w:val="single" w:color="auto" w:sz="4" w:space="0"/>
            </w:tcBorders>
            <w:vAlign w:val="center"/>
          </w:tcPr>
          <w:p w14:paraId="4374F941">
            <w:pPr>
              <w:pStyle w:val="17"/>
              <w:spacing w:before="49" w:line="203" w:lineRule="exact"/>
              <w:ind w:left="270"/>
              <w:jc w:val="center"/>
              <w:rPr>
                <w:rFonts w:hint="default"/>
                <w:position w:val="1"/>
                <w:sz w:val="21"/>
                <w:szCs w:val="21"/>
                <w:highlight w:val="none"/>
                <w:lang w:val="en-US" w:eastAsia="zh-CN"/>
              </w:rPr>
            </w:pPr>
            <w:r>
              <w:rPr>
                <w:rFonts w:hint="eastAsia"/>
                <w:position w:val="1"/>
                <w:sz w:val="21"/>
                <w:szCs w:val="21"/>
                <w:highlight w:val="none"/>
                <w:lang w:val="en-US" w:eastAsia="zh-CN"/>
              </w:rPr>
              <w:t>1</w:t>
            </w:r>
          </w:p>
        </w:tc>
      </w:tr>
      <w:tr w14:paraId="3308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712" w:type="dxa"/>
            <w:vMerge w:val="restart"/>
            <w:vAlign w:val="center"/>
          </w:tcPr>
          <w:p w14:paraId="4AB4A382">
            <w:pPr>
              <w:spacing w:line="244"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624" w:type="dxa"/>
            <w:vMerge w:val="restart"/>
            <w:tcBorders>
              <w:top w:val="nil"/>
            </w:tcBorders>
            <w:vAlign w:val="center"/>
          </w:tcPr>
          <w:p w14:paraId="3761EDD9">
            <w:pPr>
              <w:pStyle w:val="17"/>
              <w:spacing w:before="49" w:line="230" w:lineRule="auto"/>
              <w:jc w:val="center"/>
              <w:rPr>
                <w:rFonts w:hint="eastAsia"/>
                <w:b/>
                <w:bCs/>
                <w:spacing w:val="7"/>
                <w:sz w:val="21"/>
                <w:szCs w:val="21"/>
                <w:highlight w:val="none"/>
                <w:lang w:val="en-US" w:eastAsia="zh-CN"/>
              </w:rPr>
            </w:pPr>
            <w:r>
              <w:rPr>
                <w:rFonts w:hint="eastAsia"/>
                <w:b/>
                <w:bCs/>
                <w:spacing w:val="7"/>
                <w:sz w:val="21"/>
                <w:szCs w:val="21"/>
                <w:highlight w:val="none"/>
                <w:lang w:val="en-US" w:eastAsia="zh-CN"/>
              </w:rPr>
              <w:t>平台运维</w:t>
            </w:r>
          </w:p>
          <w:p w14:paraId="681CC503">
            <w:pPr>
              <w:pStyle w:val="17"/>
              <w:spacing w:before="49" w:line="230" w:lineRule="auto"/>
              <w:jc w:val="center"/>
              <w:rPr>
                <w:rFonts w:hint="default"/>
                <w:b/>
                <w:bCs/>
                <w:spacing w:val="7"/>
                <w:sz w:val="21"/>
                <w:szCs w:val="21"/>
                <w:highlight w:val="none"/>
                <w:lang w:val="en-US" w:eastAsia="zh-CN"/>
              </w:rPr>
            </w:pPr>
            <w:r>
              <w:rPr>
                <w:b/>
                <w:bCs/>
                <w:spacing w:val="-3"/>
                <w:sz w:val="21"/>
                <w:szCs w:val="21"/>
                <w:highlight w:val="none"/>
              </w:rPr>
              <w:t>(</w:t>
            </w:r>
            <w:r>
              <w:rPr>
                <w:rFonts w:hint="eastAsia"/>
                <w:b/>
                <w:bCs/>
                <w:spacing w:val="-3"/>
                <w:sz w:val="21"/>
                <w:szCs w:val="21"/>
                <w:highlight w:val="none"/>
                <w:lang w:val="en-US" w:eastAsia="zh-CN"/>
              </w:rPr>
              <w:t>10</w:t>
            </w:r>
            <w:r>
              <w:rPr>
                <w:b/>
                <w:bCs/>
                <w:spacing w:val="-3"/>
                <w:sz w:val="21"/>
                <w:szCs w:val="21"/>
                <w:highlight w:val="none"/>
              </w:rPr>
              <w:t>分)</w:t>
            </w:r>
          </w:p>
        </w:tc>
        <w:tc>
          <w:tcPr>
            <w:tcW w:w="5793" w:type="dxa"/>
            <w:vAlign w:val="top"/>
          </w:tcPr>
          <w:p w14:paraId="5FE713D6">
            <w:pPr>
              <w:pStyle w:val="17"/>
              <w:numPr>
                <w:ilvl w:val="0"/>
                <w:numId w:val="0"/>
              </w:numPr>
              <w:spacing w:before="6" w:line="238" w:lineRule="auto"/>
              <w:ind w:left="19" w:leftChars="0" w:right="158" w:rightChars="0"/>
              <w:rPr>
                <w:rFonts w:hint="eastAsia" w:cs="宋体"/>
                <w:b w:val="0"/>
                <w:bCs w:val="0"/>
                <w:spacing w:val="8"/>
                <w:sz w:val="21"/>
                <w:szCs w:val="21"/>
                <w:highlight w:val="none"/>
                <w:lang w:val="en-US" w:eastAsia="zh-CN"/>
              </w:rPr>
            </w:pPr>
            <w:r>
              <w:rPr>
                <w:rFonts w:hint="eastAsia"/>
                <w:b/>
                <w:bCs/>
                <w:sz w:val="21"/>
                <w:szCs w:val="21"/>
                <w:highlight w:val="none"/>
                <w:lang w:val="en-US" w:eastAsia="zh-CN"/>
              </w:rPr>
              <w:t>1.平台维稳：</w:t>
            </w:r>
            <w:r>
              <w:rPr>
                <w:rFonts w:hint="eastAsia"/>
                <w:b w:val="0"/>
                <w:bCs w:val="0"/>
                <w:sz w:val="21"/>
                <w:szCs w:val="21"/>
                <w:highlight w:val="none"/>
                <w:lang w:val="en-US" w:eastAsia="zh-CN"/>
              </w:rPr>
              <w:t>（1）提供</w:t>
            </w:r>
            <w:r>
              <w:rPr>
                <w:rFonts w:hint="eastAsia"/>
                <w:b w:val="0"/>
                <w:bCs w:val="0"/>
                <w:sz w:val="21"/>
                <w:szCs w:val="21"/>
                <w:highlight w:val="none"/>
                <w:lang w:eastAsia="zh-CN"/>
              </w:rPr>
              <w:t>详细</w:t>
            </w:r>
            <w:r>
              <w:rPr>
                <w:rFonts w:hint="eastAsia"/>
                <w:b w:val="0"/>
                <w:bCs w:val="0"/>
                <w:sz w:val="21"/>
                <w:szCs w:val="21"/>
                <w:highlight w:val="none"/>
                <w:lang w:val="en-US" w:eastAsia="zh-CN"/>
              </w:rPr>
              <w:t>运维</w:t>
            </w:r>
            <w:r>
              <w:rPr>
                <w:rFonts w:hint="eastAsia"/>
                <w:b w:val="0"/>
                <w:bCs w:val="0"/>
                <w:sz w:val="21"/>
                <w:szCs w:val="21"/>
                <w:highlight w:val="none"/>
                <w:lang w:eastAsia="zh-CN"/>
              </w:rPr>
              <w:t>服务方案、完整的售后服务体系，内容应包含但不限于:服务组织结构、售后服务联系表、服务方式、响应体系、维护体系、质量监督体系、质量保证期内服务内容、质量保证期外服务内容、售后服务应急措施等。</w:t>
            </w:r>
            <w:r>
              <w:rPr>
                <w:rFonts w:hint="eastAsia"/>
                <w:b w:val="0"/>
                <w:bCs w:val="0"/>
                <w:sz w:val="21"/>
                <w:szCs w:val="21"/>
                <w:highlight w:val="none"/>
                <w:lang w:val="en-US" w:eastAsia="zh-CN"/>
              </w:rPr>
              <w:t>且</w:t>
            </w:r>
            <w:r>
              <w:rPr>
                <w:rFonts w:hint="eastAsia" w:cs="宋体"/>
                <w:b w:val="0"/>
                <w:bCs w:val="0"/>
                <w:spacing w:val="8"/>
                <w:sz w:val="21"/>
                <w:szCs w:val="21"/>
                <w:highlight w:val="none"/>
                <w:lang w:val="en-US" w:eastAsia="zh-CN"/>
              </w:rPr>
              <w:t>各项服务支撑全面、有效的。</w:t>
            </w:r>
          </w:p>
          <w:p w14:paraId="172A620A">
            <w:pPr>
              <w:pStyle w:val="17"/>
              <w:numPr>
                <w:ilvl w:val="0"/>
                <w:numId w:val="0"/>
              </w:numPr>
              <w:spacing w:before="6" w:line="238" w:lineRule="auto"/>
              <w:ind w:leftChars="0" w:right="158" w:rightChars="0"/>
              <w:rPr>
                <w:rFonts w:hint="eastAsia" w:cs="宋体"/>
                <w:b w:val="0"/>
                <w:bCs w:val="0"/>
                <w:spacing w:val="8"/>
                <w:sz w:val="21"/>
                <w:szCs w:val="21"/>
                <w:highlight w:val="none"/>
                <w:lang w:val="en-US" w:eastAsia="zh-CN"/>
              </w:rPr>
            </w:pPr>
            <w:r>
              <w:rPr>
                <w:rFonts w:hint="eastAsia"/>
                <w:b w:val="0"/>
                <w:bCs w:val="0"/>
                <w:sz w:val="21"/>
                <w:szCs w:val="21"/>
                <w:highlight w:val="none"/>
                <w:lang w:val="en-US" w:eastAsia="zh-CN"/>
              </w:rPr>
              <w:t>（2）维护服务内容包含</w:t>
            </w:r>
            <w:r>
              <w:rPr>
                <w:rFonts w:hint="eastAsia"/>
                <w:b w:val="0"/>
                <w:bCs w:val="0"/>
                <w:sz w:val="21"/>
                <w:szCs w:val="21"/>
                <w:highlight w:val="none"/>
              </w:rPr>
              <w:t>基础设施维护</w:t>
            </w:r>
            <w:r>
              <w:rPr>
                <w:rFonts w:hint="eastAsia"/>
                <w:b w:val="0"/>
                <w:bCs w:val="0"/>
                <w:sz w:val="21"/>
                <w:szCs w:val="21"/>
                <w:highlight w:val="none"/>
                <w:lang w:eastAsia="zh-CN"/>
              </w:rPr>
              <w:t>、</w:t>
            </w:r>
            <w:r>
              <w:rPr>
                <w:rFonts w:hint="eastAsia"/>
                <w:b w:val="0"/>
                <w:bCs w:val="0"/>
                <w:sz w:val="21"/>
                <w:szCs w:val="21"/>
                <w:highlight w:val="none"/>
              </w:rPr>
              <w:t>软件系统巡检</w:t>
            </w:r>
            <w:r>
              <w:rPr>
                <w:rFonts w:hint="eastAsia"/>
                <w:b w:val="0"/>
                <w:bCs w:val="0"/>
                <w:sz w:val="21"/>
                <w:szCs w:val="21"/>
                <w:highlight w:val="none"/>
                <w:lang w:eastAsia="zh-CN"/>
              </w:rPr>
              <w:t>、</w:t>
            </w:r>
            <w:r>
              <w:rPr>
                <w:rFonts w:hint="eastAsia"/>
                <w:b w:val="0"/>
                <w:bCs w:val="0"/>
                <w:sz w:val="21"/>
                <w:szCs w:val="21"/>
                <w:highlight w:val="none"/>
              </w:rPr>
              <w:t>数据备份与恢复</w:t>
            </w:r>
            <w:r>
              <w:rPr>
                <w:rFonts w:hint="eastAsia"/>
                <w:b w:val="0"/>
                <w:bCs w:val="0"/>
                <w:sz w:val="21"/>
                <w:szCs w:val="21"/>
                <w:highlight w:val="none"/>
                <w:lang w:eastAsia="zh-CN"/>
              </w:rPr>
              <w:t>、</w:t>
            </w:r>
            <w:r>
              <w:rPr>
                <w:rFonts w:hint="eastAsia"/>
                <w:b w:val="0"/>
                <w:bCs w:val="0"/>
                <w:sz w:val="21"/>
                <w:szCs w:val="21"/>
                <w:highlight w:val="none"/>
              </w:rPr>
              <w:t>安全防护管理</w:t>
            </w:r>
            <w:r>
              <w:rPr>
                <w:rFonts w:hint="eastAsia"/>
                <w:b w:val="0"/>
                <w:bCs w:val="0"/>
                <w:sz w:val="21"/>
                <w:szCs w:val="21"/>
                <w:highlight w:val="none"/>
                <w:lang w:eastAsia="zh-CN"/>
              </w:rPr>
              <w:t>、</w:t>
            </w:r>
            <w:r>
              <w:rPr>
                <w:rFonts w:hint="eastAsia"/>
                <w:b w:val="0"/>
                <w:bCs w:val="0"/>
                <w:sz w:val="21"/>
                <w:szCs w:val="21"/>
                <w:highlight w:val="none"/>
              </w:rPr>
              <w:t>性能优化保障</w:t>
            </w:r>
            <w:r>
              <w:rPr>
                <w:rFonts w:hint="eastAsia"/>
                <w:b w:val="0"/>
                <w:bCs w:val="0"/>
                <w:sz w:val="21"/>
                <w:szCs w:val="21"/>
                <w:highlight w:val="none"/>
                <w:lang w:val="en-US" w:eastAsia="zh-CN"/>
              </w:rPr>
              <w:t>等能力与服务支持，且</w:t>
            </w:r>
            <w:r>
              <w:rPr>
                <w:rFonts w:hint="eastAsia" w:cs="宋体"/>
                <w:b w:val="0"/>
                <w:bCs w:val="0"/>
                <w:spacing w:val="8"/>
                <w:sz w:val="21"/>
                <w:szCs w:val="21"/>
                <w:highlight w:val="none"/>
                <w:lang w:val="en-US" w:eastAsia="zh-CN"/>
              </w:rPr>
              <w:t>各项服务支撑全面、有效的。</w:t>
            </w:r>
          </w:p>
          <w:p w14:paraId="2B981F13">
            <w:pPr>
              <w:pStyle w:val="17"/>
              <w:numPr>
                <w:ilvl w:val="0"/>
                <w:numId w:val="0"/>
              </w:numPr>
              <w:spacing w:before="6" w:line="238" w:lineRule="auto"/>
              <w:ind w:leftChars="0" w:right="158" w:rightChars="0"/>
              <w:rPr>
                <w:rFonts w:hint="eastAsia" w:cs="宋体"/>
                <w:b w:val="0"/>
                <w:bCs w:val="0"/>
                <w:spacing w:val="8"/>
                <w:sz w:val="21"/>
                <w:szCs w:val="21"/>
                <w:highlight w:val="none"/>
                <w:lang w:val="en-US" w:eastAsia="zh-CN"/>
              </w:rPr>
            </w:pPr>
            <w:r>
              <w:rPr>
                <w:rFonts w:hint="eastAsia" w:cs="宋体"/>
                <w:b w:val="0"/>
                <w:bCs w:val="0"/>
                <w:spacing w:val="8"/>
                <w:sz w:val="21"/>
                <w:szCs w:val="21"/>
                <w:highlight w:val="none"/>
                <w:lang w:val="en-US" w:eastAsia="zh-CN"/>
              </w:rPr>
              <w:t>（3）提供针对项目的安全运营服务方案，保障系统运行安全，内容应包括但不限于故障分类、人员组织分工、应急报告流程、应急措施、故障恢复、仿真演练、项目应急对策、突发事件预案、系统灾难备份策略等。</w:t>
            </w:r>
          </w:p>
        </w:tc>
        <w:tc>
          <w:tcPr>
            <w:tcW w:w="562" w:type="dxa"/>
            <w:vAlign w:val="center"/>
          </w:tcPr>
          <w:p w14:paraId="75D0F40B">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10</w:t>
            </w:r>
          </w:p>
        </w:tc>
        <w:tc>
          <w:tcPr>
            <w:tcW w:w="472" w:type="dxa"/>
            <w:vAlign w:val="center"/>
          </w:tcPr>
          <w:p w14:paraId="0F47476C">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6</w:t>
            </w:r>
          </w:p>
        </w:tc>
        <w:tc>
          <w:tcPr>
            <w:tcW w:w="499" w:type="dxa"/>
            <w:tcBorders>
              <w:right w:val="single" w:color="auto" w:sz="4" w:space="0"/>
            </w:tcBorders>
            <w:vAlign w:val="center"/>
          </w:tcPr>
          <w:p w14:paraId="5A1D8DAC">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3</w:t>
            </w:r>
          </w:p>
        </w:tc>
      </w:tr>
      <w:tr w14:paraId="70BF2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12" w:type="dxa"/>
            <w:vMerge w:val="continue"/>
            <w:vAlign w:val="center"/>
          </w:tcPr>
          <w:p w14:paraId="5DCF7A89">
            <w:pPr>
              <w:spacing w:line="244" w:lineRule="auto"/>
              <w:jc w:val="center"/>
              <w:rPr>
                <w:rFonts w:hint="eastAsia" w:ascii="宋体" w:hAnsi="宋体" w:eastAsia="宋体" w:cs="宋体"/>
                <w:sz w:val="21"/>
                <w:szCs w:val="21"/>
                <w:highlight w:val="none"/>
                <w:lang w:val="en-US" w:eastAsia="zh-CN"/>
              </w:rPr>
            </w:pPr>
          </w:p>
        </w:tc>
        <w:tc>
          <w:tcPr>
            <w:tcW w:w="1624" w:type="dxa"/>
            <w:vMerge w:val="continue"/>
            <w:vAlign w:val="center"/>
          </w:tcPr>
          <w:p w14:paraId="0207EEF8">
            <w:pPr>
              <w:pStyle w:val="17"/>
              <w:spacing w:before="49" w:line="230" w:lineRule="auto"/>
              <w:jc w:val="center"/>
              <w:rPr>
                <w:b/>
                <w:bCs/>
                <w:spacing w:val="-3"/>
                <w:sz w:val="21"/>
                <w:szCs w:val="21"/>
                <w:highlight w:val="none"/>
              </w:rPr>
            </w:pPr>
          </w:p>
        </w:tc>
        <w:tc>
          <w:tcPr>
            <w:tcW w:w="5793" w:type="dxa"/>
            <w:vAlign w:val="top"/>
          </w:tcPr>
          <w:p w14:paraId="0D118452">
            <w:pPr>
              <w:pStyle w:val="17"/>
              <w:spacing w:before="6" w:line="238" w:lineRule="auto"/>
              <w:ind w:left="21" w:right="158" w:hanging="2"/>
              <w:rPr>
                <w:rFonts w:hint="eastAsia"/>
                <w:spacing w:val="3"/>
                <w:sz w:val="21"/>
                <w:szCs w:val="21"/>
                <w:highlight w:val="none"/>
                <w:lang w:val="en-US" w:eastAsia="zh-CN"/>
              </w:rPr>
            </w:pPr>
            <w:r>
              <w:rPr>
                <w:rFonts w:hint="eastAsia"/>
                <w:b/>
                <w:bCs/>
                <w:spacing w:val="3"/>
                <w:sz w:val="21"/>
                <w:szCs w:val="21"/>
                <w:highlight w:val="none"/>
                <w:lang w:val="en-US" w:eastAsia="zh-CN"/>
              </w:rPr>
              <w:t>2.功能迭代</w:t>
            </w:r>
            <w:r>
              <w:rPr>
                <w:rFonts w:hint="eastAsia"/>
                <w:b/>
                <w:bCs/>
                <w:sz w:val="21"/>
                <w:szCs w:val="21"/>
                <w:highlight w:val="none"/>
                <w:lang w:eastAsia="zh-CN"/>
              </w:rPr>
              <w:t>：</w:t>
            </w:r>
            <w:r>
              <w:rPr>
                <w:rFonts w:hint="eastAsia"/>
                <w:b w:val="0"/>
                <w:bCs w:val="0"/>
                <w:sz w:val="21"/>
                <w:szCs w:val="21"/>
                <w:highlight w:val="none"/>
                <w:lang w:val="en-US" w:eastAsia="zh-CN"/>
              </w:rPr>
              <w:t>包含</w:t>
            </w:r>
            <w:r>
              <w:rPr>
                <w:rFonts w:hint="eastAsia"/>
                <w:spacing w:val="3"/>
                <w:sz w:val="21"/>
                <w:szCs w:val="21"/>
                <w:highlight w:val="none"/>
                <w:lang w:val="en-US" w:eastAsia="zh-CN"/>
              </w:rPr>
              <w:t>用户需求调研、功能规划与设计、开发与测试、上线与推广、效果评估与优化等服务支持，</w:t>
            </w:r>
            <w:r>
              <w:rPr>
                <w:rFonts w:hint="eastAsia" w:cs="宋体"/>
                <w:spacing w:val="8"/>
                <w:sz w:val="21"/>
                <w:szCs w:val="21"/>
                <w:highlight w:val="none"/>
                <w:lang w:val="en-US" w:eastAsia="zh-CN"/>
              </w:rPr>
              <w:t>且各项服务支撑全面且有效。</w:t>
            </w:r>
          </w:p>
        </w:tc>
        <w:tc>
          <w:tcPr>
            <w:tcW w:w="562" w:type="dxa"/>
            <w:vAlign w:val="center"/>
          </w:tcPr>
          <w:p w14:paraId="5536C04C">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5</w:t>
            </w:r>
          </w:p>
        </w:tc>
        <w:tc>
          <w:tcPr>
            <w:tcW w:w="472" w:type="dxa"/>
            <w:vAlign w:val="center"/>
          </w:tcPr>
          <w:p w14:paraId="2373689A">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3</w:t>
            </w:r>
          </w:p>
        </w:tc>
        <w:tc>
          <w:tcPr>
            <w:tcW w:w="499" w:type="dxa"/>
            <w:tcBorders>
              <w:right w:val="single" w:color="auto" w:sz="4" w:space="0"/>
            </w:tcBorders>
            <w:vAlign w:val="center"/>
          </w:tcPr>
          <w:p w14:paraId="189EE01C">
            <w:pPr>
              <w:pStyle w:val="17"/>
              <w:spacing w:before="49" w:line="203" w:lineRule="exact"/>
              <w:jc w:val="center"/>
              <w:rPr>
                <w:rFonts w:hint="default"/>
                <w:position w:val="1"/>
                <w:sz w:val="21"/>
                <w:szCs w:val="21"/>
                <w:highlight w:val="none"/>
                <w:lang w:val="en-US" w:eastAsia="zh-CN"/>
              </w:rPr>
            </w:pPr>
            <w:r>
              <w:rPr>
                <w:rFonts w:hint="eastAsia"/>
                <w:position w:val="1"/>
                <w:sz w:val="21"/>
                <w:szCs w:val="21"/>
                <w:highlight w:val="none"/>
                <w:lang w:val="en-US" w:eastAsia="zh-CN"/>
              </w:rPr>
              <w:t>1</w:t>
            </w:r>
          </w:p>
        </w:tc>
      </w:tr>
      <w:tr w14:paraId="1423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712" w:type="dxa"/>
            <w:vMerge w:val="restart"/>
            <w:vAlign w:val="center"/>
          </w:tcPr>
          <w:p w14:paraId="54149D73">
            <w:pPr>
              <w:spacing w:line="24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624" w:type="dxa"/>
            <w:vMerge w:val="restart"/>
            <w:vAlign w:val="center"/>
          </w:tcPr>
          <w:p w14:paraId="4F0C1308">
            <w:pPr>
              <w:pStyle w:val="17"/>
              <w:spacing w:before="49" w:line="230" w:lineRule="auto"/>
              <w:ind w:left="200"/>
              <w:jc w:val="center"/>
              <w:rPr>
                <w:rFonts w:hint="eastAsia"/>
                <w:b/>
                <w:bCs/>
                <w:spacing w:val="7"/>
                <w:sz w:val="21"/>
                <w:szCs w:val="21"/>
                <w:highlight w:val="none"/>
                <w:lang w:val="en-US" w:eastAsia="zh-CN"/>
              </w:rPr>
            </w:pPr>
            <w:r>
              <w:rPr>
                <w:rFonts w:hint="eastAsia"/>
                <w:b/>
                <w:bCs/>
                <w:spacing w:val="7"/>
                <w:sz w:val="21"/>
                <w:szCs w:val="21"/>
                <w:highlight w:val="none"/>
                <w:lang w:val="en-US" w:eastAsia="zh-CN"/>
              </w:rPr>
              <w:t>平台运营</w:t>
            </w:r>
          </w:p>
          <w:p w14:paraId="3BCAD4DA">
            <w:pPr>
              <w:pStyle w:val="17"/>
              <w:spacing w:before="49" w:line="230" w:lineRule="auto"/>
              <w:ind w:left="200"/>
              <w:jc w:val="center"/>
              <w:rPr>
                <w:rFonts w:hint="default"/>
                <w:sz w:val="21"/>
                <w:szCs w:val="21"/>
                <w:highlight w:val="none"/>
                <w:lang w:val="en-US" w:eastAsia="zh-CN"/>
              </w:rPr>
            </w:pPr>
            <w:r>
              <w:rPr>
                <w:rFonts w:hint="eastAsia"/>
                <w:b/>
                <w:bCs/>
                <w:spacing w:val="7"/>
                <w:sz w:val="21"/>
                <w:szCs w:val="21"/>
                <w:highlight w:val="none"/>
                <w:lang w:val="en-US" w:eastAsia="zh-CN"/>
              </w:rPr>
              <w:t>（20分</w:t>
            </w:r>
            <w:r>
              <w:rPr>
                <w:rFonts w:hint="eastAsia"/>
                <w:sz w:val="21"/>
                <w:szCs w:val="21"/>
                <w:highlight w:val="none"/>
                <w:lang w:val="en-US" w:eastAsia="zh-CN"/>
              </w:rPr>
              <w:t>）</w:t>
            </w:r>
          </w:p>
        </w:tc>
        <w:tc>
          <w:tcPr>
            <w:tcW w:w="5793" w:type="dxa"/>
            <w:vAlign w:val="top"/>
          </w:tcPr>
          <w:p w14:paraId="0B79F4B5">
            <w:pPr>
              <w:pStyle w:val="17"/>
              <w:spacing w:line="239" w:lineRule="auto"/>
              <w:ind w:left="21" w:right="78" w:firstLine="1"/>
              <w:rPr>
                <w:sz w:val="21"/>
                <w:szCs w:val="21"/>
                <w:highlight w:val="none"/>
              </w:rPr>
            </w:pPr>
            <w:r>
              <w:rPr>
                <w:spacing w:val="8"/>
                <w:sz w:val="21"/>
                <w:szCs w:val="21"/>
                <w:highlight w:val="none"/>
              </w:rPr>
              <w:t>运营服务是评估本项目</w:t>
            </w:r>
            <w:r>
              <w:rPr>
                <w:rFonts w:hint="eastAsia"/>
                <w:spacing w:val="8"/>
                <w:sz w:val="21"/>
                <w:szCs w:val="21"/>
                <w:highlight w:val="none"/>
                <w:lang w:val="en-US" w:eastAsia="zh-CN"/>
              </w:rPr>
              <w:t>的</w:t>
            </w:r>
            <w:r>
              <w:rPr>
                <w:spacing w:val="8"/>
                <w:sz w:val="21"/>
                <w:szCs w:val="21"/>
                <w:highlight w:val="none"/>
              </w:rPr>
              <w:t>教育平台提供商能否持续提供</w:t>
            </w:r>
            <w:r>
              <w:rPr>
                <w:rFonts w:hint="eastAsia"/>
                <w:spacing w:val="8"/>
                <w:sz w:val="21"/>
                <w:szCs w:val="21"/>
                <w:highlight w:val="none"/>
                <w:lang w:val="en-US" w:eastAsia="zh-CN"/>
              </w:rPr>
              <w:t>生态开放的、长效运营管理能力</w:t>
            </w:r>
            <w:r>
              <w:rPr>
                <w:spacing w:val="7"/>
                <w:sz w:val="21"/>
                <w:szCs w:val="21"/>
                <w:highlight w:val="none"/>
              </w:rPr>
              <w:t>的关键指标。</w:t>
            </w:r>
          </w:p>
        </w:tc>
        <w:tc>
          <w:tcPr>
            <w:tcW w:w="1533" w:type="dxa"/>
            <w:gridSpan w:val="3"/>
            <w:vAlign w:val="center"/>
          </w:tcPr>
          <w:p w14:paraId="143D8596">
            <w:pPr>
              <w:pStyle w:val="17"/>
              <w:spacing w:line="239" w:lineRule="auto"/>
              <w:ind w:left="21" w:right="78" w:firstLine="1"/>
              <w:jc w:val="center"/>
              <w:rPr>
                <w:rFonts w:hint="eastAsia" w:cs="宋体"/>
                <w:spacing w:val="8"/>
                <w:sz w:val="21"/>
                <w:szCs w:val="21"/>
                <w:highlight w:val="none"/>
                <w:lang w:val="en-US" w:eastAsia="zh-CN"/>
              </w:rPr>
            </w:pPr>
          </w:p>
        </w:tc>
      </w:tr>
      <w:tr w14:paraId="71361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712" w:type="dxa"/>
            <w:vMerge w:val="continue"/>
            <w:vAlign w:val="center"/>
          </w:tcPr>
          <w:p w14:paraId="320EAA7D">
            <w:pPr>
              <w:spacing w:line="244" w:lineRule="auto"/>
              <w:jc w:val="center"/>
              <w:rPr>
                <w:rFonts w:hint="eastAsia" w:ascii="宋体" w:hAnsi="宋体" w:eastAsia="宋体" w:cs="宋体"/>
                <w:sz w:val="21"/>
                <w:szCs w:val="21"/>
                <w:highlight w:val="none"/>
                <w:lang w:val="en-US" w:eastAsia="zh-CN"/>
              </w:rPr>
            </w:pPr>
          </w:p>
        </w:tc>
        <w:tc>
          <w:tcPr>
            <w:tcW w:w="1624" w:type="dxa"/>
            <w:vMerge w:val="continue"/>
            <w:vAlign w:val="top"/>
          </w:tcPr>
          <w:p w14:paraId="5E593575">
            <w:pPr>
              <w:pStyle w:val="17"/>
              <w:spacing w:before="7" w:line="230" w:lineRule="auto"/>
              <w:ind w:left="626"/>
              <w:rPr>
                <w:b/>
                <w:bCs/>
                <w:spacing w:val="-3"/>
                <w:sz w:val="21"/>
                <w:szCs w:val="21"/>
                <w:highlight w:val="none"/>
              </w:rPr>
            </w:pPr>
          </w:p>
        </w:tc>
        <w:tc>
          <w:tcPr>
            <w:tcW w:w="5793" w:type="dxa"/>
            <w:vAlign w:val="top"/>
          </w:tcPr>
          <w:p w14:paraId="3D3E52C8">
            <w:pPr>
              <w:pStyle w:val="17"/>
              <w:spacing w:line="239" w:lineRule="auto"/>
              <w:ind w:left="21" w:right="78" w:firstLine="1"/>
              <w:rPr>
                <w:rFonts w:hint="eastAsia"/>
                <w:spacing w:val="3"/>
                <w:sz w:val="21"/>
                <w:szCs w:val="21"/>
                <w:highlight w:val="none"/>
                <w:lang w:eastAsia="zh-CN"/>
              </w:rPr>
            </w:pPr>
            <w:r>
              <w:rPr>
                <w:rFonts w:hint="eastAsia"/>
                <w:b/>
                <w:bCs/>
                <w:spacing w:val="3"/>
                <w:sz w:val="21"/>
                <w:szCs w:val="21"/>
                <w:highlight w:val="none"/>
                <w:lang w:val="en-US" w:eastAsia="zh-CN"/>
              </w:rPr>
              <w:t>商用端</w:t>
            </w:r>
            <w:r>
              <w:rPr>
                <w:rFonts w:hint="eastAsia"/>
                <w:b/>
                <w:bCs/>
                <w:spacing w:val="3"/>
                <w:sz w:val="21"/>
                <w:szCs w:val="21"/>
                <w:highlight w:val="none"/>
              </w:rPr>
              <w:t>运营</w:t>
            </w:r>
            <w:r>
              <w:rPr>
                <w:rFonts w:hint="eastAsia"/>
                <w:b/>
                <w:bCs/>
                <w:spacing w:val="3"/>
                <w:sz w:val="21"/>
                <w:szCs w:val="21"/>
                <w:highlight w:val="none"/>
                <w:lang w:val="en-US" w:eastAsia="zh-CN"/>
              </w:rPr>
              <w:t>生态构建</w:t>
            </w:r>
            <w:r>
              <w:rPr>
                <w:rFonts w:hint="eastAsia"/>
                <w:b/>
                <w:bCs/>
                <w:spacing w:val="3"/>
                <w:sz w:val="21"/>
                <w:szCs w:val="21"/>
                <w:highlight w:val="none"/>
              </w:rPr>
              <w:t>。</w:t>
            </w:r>
            <w:r>
              <w:rPr>
                <w:rFonts w:hint="eastAsia"/>
                <w:spacing w:val="3"/>
                <w:sz w:val="21"/>
                <w:szCs w:val="21"/>
                <w:highlight w:val="none"/>
                <w:lang w:val="en-US" w:eastAsia="zh-CN"/>
              </w:rPr>
              <w:t>提供统一的研学业务商用运营管理平台，并实现以下运营服务支撑：①能够</w:t>
            </w:r>
            <w:r>
              <w:rPr>
                <w:rFonts w:hint="eastAsia"/>
                <w:spacing w:val="3"/>
                <w:sz w:val="21"/>
                <w:szCs w:val="21"/>
                <w:highlight w:val="none"/>
              </w:rPr>
              <w:t>提供</w:t>
            </w:r>
            <w:r>
              <w:rPr>
                <w:rFonts w:hint="eastAsia"/>
                <w:spacing w:val="3"/>
                <w:sz w:val="21"/>
                <w:szCs w:val="21"/>
                <w:highlight w:val="none"/>
                <w:lang w:val="en-US" w:eastAsia="zh-CN"/>
              </w:rPr>
              <w:t>智慧研学服务运营管理</w:t>
            </w:r>
            <w:r>
              <w:rPr>
                <w:rFonts w:hint="eastAsia"/>
                <w:spacing w:val="3"/>
                <w:sz w:val="21"/>
                <w:szCs w:val="21"/>
                <w:highlight w:val="none"/>
              </w:rPr>
              <w:t>方案</w:t>
            </w:r>
            <w:r>
              <w:rPr>
                <w:rFonts w:hint="eastAsia"/>
                <w:spacing w:val="3"/>
                <w:sz w:val="21"/>
                <w:szCs w:val="21"/>
                <w:highlight w:val="none"/>
                <w:lang w:eastAsia="zh-CN"/>
              </w:rPr>
              <w:t>，</w:t>
            </w:r>
            <w:r>
              <w:rPr>
                <w:rFonts w:hint="eastAsia"/>
                <w:spacing w:val="3"/>
                <w:sz w:val="21"/>
                <w:szCs w:val="21"/>
                <w:highlight w:val="none"/>
                <w:lang w:val="en-US" w:eastAsia="zh-CN"/>
              </w:rPr>
              <w:t>为入驻平台的各类教育研学机构或基地提供信息化管理工具</w:t>
            </w:r>
            <w:r>
              <w:rPr>
                <w:rFonts w:hint="eastAsia"/>
                <w:spacing w:val="3"/>
                <w:sz w:val="21"/>
                <w:szCs w:val="21"/>
                <w:highlight w:val="none"/>
                <w:lang w:eastAsia="zh-CN"/>
              </w:rPr>
              <w:t>，提升其运营</w:t>
            </w:r>
            <w:r>
              <w:rPr>
                <w:rFonts w:hint="eastAsia"/>
                <w:spacing w:val="3"/>
                <w:sz w:val="21"/>
                <w:szCs w:val="21"/>
                <w:highlight w:val="none"/>
                <w:lang w:val="en-US" w:eastAsia="zh-CN"/>
              </w:rPr>
              <w:t>效率；②帮助建立完善的“评价 - 反馈 - 优化” 闭环，持续提升系统的教育价值与用户体验；③能够迅速响应市场变化，灵活组合或调整产品策略。如结合区域特色（如文旅资源、政策要求），提供“研学路线智能推荐”“地方文化知识库”等能力；④能够通过有效的推广渠道</w:t>
            </w:r>
            <w:r>
              <w:rPr>
                <w:rFonts w:hint="eastAsia"/>
                <w:spacing w:val="3"/>
                <w:sz w:val="21"/>
                <w:szCs w:val="21"/>
                <w:highlight w:val="none"/>
              </w:rPr>
              <w:t>，扩大品牌影响力，吸引更多用户。</w:t>
            </w:r>
            <w:r>
              <w:rPr>
                <w:rFonts w:hint="eastAsia"/>
                <w:spacing w:val="3"/>
                <w:sz w:val="21"/>
                <w:szCs w:val="21"/>
                <w:highlight w:val="none"/>
                <w:lang w:val="en-US" w:eastAsia="zh-CN"/>
              </w:rPr>
              <w:t>⑤</w:t>
            </w:r>
            <w:r>
              <w:rPr>
                <w:rFonts w:hint="eastAsia"/>
                <w:spacing w:val="3"/>
                <w:sz w:val="21"/>
                <w:szCs w:val="21"/>
                <w:highlight w:val="none"/>
              </w:rPr>
              <w:t>定期推送个性化</w:t>
            </w:r>
            <w:r>
              <w:rPr>
                <w:rFonts w:hint="eastAsia"/>
                <w:spacing w:val="3"/>
                <w:sz w:val="21"/>
                <w:szCs w:val="21"/>
                <w:highlight w:val="none"/>
                <w:lang w:val="en-US" w:eastAsia="zh-CN"/>
              </w:rPr>
              <w:t>服务</w:t>
            </w:r>
            <w:r>
              <w:rPr>
                <w:rFonts w:hint="eastAsia"/>
                <w:spacing w:val="3"/>
                <w:sz w:val="21"/>
                <w:szCs w:val="21"/>
                <w:highlight w:val="none"/>
              </w:rPr>
              <w:t>；</w:t>
            </w:r>
            <w:r>
              <w:rPr>
                <w:rFonts w:hint="eastAsia"/>
                <w:spacing w:val="3"/>
                <w:sz w:val="21"/>
                <w:szCs w:val="21"/>
                <w:highlight w:val="none"/>
                <w:lang w:val="en-US" w:eastAsia="zh-CN"/>
              </w:rPr>
              <w:t>⑥</w:t>
            </w:r>
            <w:r>
              <w:rPr>
                <w:rFonts w:hint="eastAsia"/>
                <w:spacing w:val="3"/>
                <w:sz w:val="21"/>
                <w:szCs w:val="21"/>
                <w:highlight w:val="none"/>
              </w:rPr>
              <w:t>形成教师-学生-家长-管理员的闭环、双向互动，活跃度高。</w:t>
            </w:r>
          </w:p>
          <w:p w14:paraId="7B377667">
            <w:pPr>
              <w:pStyle w:val="17"/>
              <w:spacing w:line="239" w:lineRule="auto"/>
              <w:ind w:left="21" w:right="78" w:firstLine="1"/>
              <w:rPr>
                <w:rFonts w:hint="eastAsia"/>
                <w:spacing w:val="3"/>
                <w:sz w:val="21"/>
                <w:szCs w:val="21"/>
                <w:highlight w:val="none"/>
                <w:lang w:eastAsia="zh-CN"/>
              </w:rPr>
            </w:pPr>
          </w:p>
        </w:tc>
        <w:tc>
          <w:tcPr>
            <w:tcW w:w="562" w:type="dxa"/>
            <w:shd w:val="clear" w:color="auto" w:fill="auto"/>
            <w:vAlign w:val="center"/>
          </w:tcPr>
          <w:p w14:paraId="50A0CE04">
            <w:pPr>
              <w:pStyle w:val="17"/>
              <w:spacing w:before="49" w:line="203" w:lineRule="exact"/>
              <w:jc w:val="center"/>
              <w:rPr>
                <w:rFonts w:hint="default"/>
                <w:sz w:val="21"/>
                <w:szCs w:val="21"/>
                <w:highlight w:val="none"/>
                <w:lang w:val="en-US" w:eastAsia="zh-CN"/>
              </w:rPr>
            </w:pPr>
            <w:r>
              <w:rPr>
                <w:rFonts w:hint="eastAsia"/>
                <w:sz w:val="21"/>
                <w:szCs w:val="21"/>
                <w:highlight w:val="none"/>
                <w:lang w:val="en-US" w:eastAsia="zh-CN"/>
              </w:rPr>
              <w:t>20</w:t>
            </w:r>
          </w:p>
        </w:tc>
        <w:tc>
          <w:tcPr>
            <w:tcW w:w="472" w:type="dxa"/>
            <w:shd w:val="clear" w:color="auto" w:fill="auto"/>
            <w:vAlign w:val="center"/>
          </w:tcPr>
          <w:p w14:paraId="167BAD81">
            <w:pPr>
              <w:pStyle w:val="17"/>
              <w:spacing w:before="49" w:line="203" w:lineRule="exact"/>
              <w:jc w:val="center"/>
              <w:rPr>
                <w:rFonts w:hint="default"/>
                <w:sz w:val="21"/>
                <w:szCs w:val="21"/>
                <w:highlight w:val="none"/>
                <w:lang w:val="en-US" w:eastAsia="zh-CN"/>
              </w:rPr>
            </w:pPr>
            <w:r>
              <w:rPr>
                <w:rFonts w:hint="eastAsia"/>
                <w:sz w:val="21"/>
                <w:szCs w:val="21"/>
                <w:highlight w:val="none"/>
                <w:lang w:val="en-US" w:eastAsia="zh-CN"/>
              </w:rPr>
              <w:t>12</w:t>
            </w:r>
          </w:p>
        </w:tc>
        <w:tc>
          <w:tcPr>
            <w:tcW w:w="499" w:type="dxa"/>
            <w:shd w:val="clear" w:color="auto" w:fill="auto"/>
            <w:vAlign w:val="center"/>
          </w:tcPr>
          <w:p w14:paraId="0BC1C4B2">
            <w:pPr>
              <w:pStyle w:val="17"/>
              <w:spacing w:before="49" w:line="204" w:lineRule="exact"/>
              <w:jc w:val="center"/>
              <w:rPr>
                <w:rFonts w:hint="default"/>
                <w:sz w:val="21"/>
                <w:szCs w:val="21"/>
                <w:highlight w:val="none"/>
                <w:lang w:val="en-US" w:eastAsia="zh-CN"/>
              </w:rPr>
            </w:pPr>
            <w:r>
              <w:rPr>
                <w:rFonts w:hint="eastAsia"/>
                <w:sz w:val="21"/>
                <w:szCs w:val="21"/>
                <w:highlight w:val="none"/>
                <w:lang w:val="en-US" w:eastAsia="zh-CN"/>
              </w:rPr>
              <w:t>6</w:t>
            </w:r>
          </w:p>
        </w:tc>
      </w:tr>
    </w:tbl>
    <w:p w14:paraId="33042B9F">
      <w:pPr>
        <w:rPr>
          <w:rFonts w:hint="eastAsia"/>
        </w:rPr>
      </w:pPr>
    </w:p>
    <w:p w14:paraId="249A65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3"/>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cs="宋体"/>
          <w:b/>
          <w:bCs/>
          <w:i w:val="0"/>
          <w:iCs w:val="0"/>
          <w:snapToGrid w:val="0"/>
          <w:color w:val="auto"/>
          <w:kern w:val="0"/>
          <w:sz w:val="21"/>
          <w:szCs w:val="21"/>
          <w:highlight w:val="none"/>
          <w:u w:val="none"/>
          <w:lang w:val="en-US" w:eastAsia="zh-CN" w:bidi="ar"/>
        </w:rPr>
        <w:t>8.1.3</w:t>
      </w:r>
      <w:r>
        <w:rPr>
          <w:rFonts w:hint="eastAsia" w:ascii="宋体" w:hAnsi="宋体" w:eastAsia="宋体" w:cs="宋体"/>
          <w:b/>
          <w:bCs/>
          <w:i w:val="0"/>
          <w:iCs w:val="0"/>
          <w:snapToGrid w:val="0"/>
          <w:color w:val="auto"/>
          <w:kern w:val="0"/>
          <w:sz w:val="21"/>
          <w:szCs w:val="21"/>
          <w:highlight w:val="none"/>
          <w:u w:val="none"/>
          <w:lang w:val="en-US" w:eastAsia="zh-CN" w:bidi="ar"/>
        </w:rPr>
        <w:t>服务与承诺</w:t>
      </w:r>
    </w:p>
    <w:p w14:paraId="5B5889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cs="仿宋"/>
          <w:bCs/>
          <w:szCs w:val="21"/>
        </w:rPr>
      </w:pPr>
      <w:r>
        <w:rPr>
          <w:rFonts w:hint="eastAsia" w:ascii="宋体" w:hAnsi="宋体" w:cs="仿宋"/>
          <w:bCs/>
          <w:szCs w:val="21"/>
        </w:rPr>
        <w:t>★投标人需承诺所有岳阳市智慧教育研学管理服务平台软件、研学课程资源及配套数字内容均无法律纠纷，拥有完全自主知识产权或已取得合法授权。如因知识产权瑕疵导致项目停运、被第三方索赔或行政处罚，投标人须承担全部赔偿及法律责任。此外，投标人需承诺在合作期内对研学平台、课程资源、数字教材及配套工具进行持续免费升级与维护，确保系统稳定、内容先进，满足岳阳市智慧研学事业不断发展的新需求。</w:t>
      </w:r>
    </w:p>
    <w:p w14:paraId="50420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cs="仿宋"/>
          <w:bCs/>
          <w:szCs w:val="21"/>
        </w:rPr>
      </w:pPr>
      <w:r>
        <w:rPr>
          <w:rFonts w:hint="eastAsia" w:ascii="宋体" w:hAnsi="宋体" w:cs="仿宋"/>
          <w:bCs/>
          <w:szCs w:val="21"/>
        </w:rPr>
        <w:t>★投标人需</w:t>
      </w:r>
      <w:r>
        <w:rPr>
          <w:rFonts w:hint="eastAsia" w:ascii="宋体" w:hAnsi="宋体" w:cs="宋体"/>
          <w:szCs w:val="21"/>
        </w:rPr>
        <w:t>承诺</w:t>
      </w:r>
      <w:r>
        <w:rPr>
          <w:rFonts w:hint="eastAsia" w:ascii="宋体" w:hAnsi="宋体" w:cs="仿宋"/>
          <w:bCs/>
          <w:szCs w:val="21"/>
        </w:rPr>
        <w:t>提供覆盖小学至高中全学段的智慧研学资源包，含研学课程方案、数字研学手册、虚拟实验、研学任务单、电子教材及教学视频等，形成“基础学科+研学实践”一体化资源体系。所有资源须紧贴新课程标准与研学旅行指导意见，按学年滚动更新，保持内容鲜活、数据准确，并保证全部电子教材及数字资源为正版授权。</w:t>
      </w:r>
    </w:p>
    <w:p w14:paraId="6D265A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cs="仿宋"/>
          <w:bCs/>
          <w:szCs w:val="21"/>
        </w:rPr>
      </w:pPr>
      <w:r>
        <w:rPr>
          <w:rFonts w:hint="eastAsia" w:ascii="宋体" w:hAnsi="宋体" w:cs="仿宋"/>
          <w:bCs/>
          <w:szCs w:val="21"/>
        </w:rPr>
        <w:t>★其他建设及交付要求承诺</w:t>
      </w:r>
    </w:p>
    <w:p w14:paraId="411EE1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cs="仿宋"/>
          <w:bCs/>
          <w:szCs w:val="21"/>
        </w:rPr>
      </w:pPr>
      <w:r>
        <w:rPr>
          <w:rFonts w:hint="eastAsia" w:ascii="宋体" w:hAnsi="宋体" w:cs="仿宋"/>
          <w:bCs/>
          <w:szCs w:val="21"/>
        </w:rPr>
        <w:t>（1）信创适配：投标人保证研学平台、研学终端及管理后台可平滑迁移至符合国家信创目录的国产芯片、操作系统、数据库与中间件。建设或运营期内，若教育主管部门要求完成信创替代，投标人须无偿完成适配、部署、数据迁移及性能优化。</w:t>
      </w:r>
    </w:p>
    <w:p w14:paraId="01B6C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cs="仿宋"/>
          <w:bCs/>
          <w:szCs w:val="21"/>
          <w:highlight w:val="yellow"/>
        </w:rPr>
      </w:pPr>
      <w:r>
        <w:rPr>
          <w:rFonts w:hint="eastAsia" w:ascii="宋体" w:hAnsi="宋体" w:cs="仿宋"/>
          <w:bCs/>
          <w:szCs w:val="21"/>
          <w:highlight w:val="yellow"/>
        </w:rPr>
        <w:t>（2）开放互联：入围的</w:t>
      </w:r>
      <w:r>
        <w:rPr>
          <w:rFonts w:hint="eastAsia" w:ascii="宋体" w:hAnsi="宋体" w:cs="仿宋"/>
          <w:bCs/>
          <w:szCs w:val="21"/>
          <w:highlight w:val="yellow"/>
          <w:lang w:val="en-US" w:eastAsia="zh-CN"/>
        </w:rPr>
        <w:t>岳阳市智慧教育</w:t>
      </w:r>
      <w:r>
        <w:rPr>
          <w:rFonts w:hint="eastAsia" w:ascii="宋体" w:hAnsi="宋体" w:cs="仿宋"/>
          <w:bCs/>
          <w:szCs w:val="21"/>
          <w:highlight w:val="yellow"/>
        </w:rPr>
        <w:t>研学管理</w:t>
      </w:r>
      <w:r>
        <w:rPr>
          <w:rFonts w:hint="eastAsia" w:ascii="宋体" w:hAnsi="宋体" w:cs="仿宋"/>
          <w:bCs/>
          <w:szCs w:val="21"/>
          <w:highlight w:val="yellow"/>
          <w:lang w:val="en-US" w:eastAsia="zh-CN"/>
        </w:rPr>
        <w:t>服务</w:t>
      </w:r>
      <w:r>
        <w:rPr>
          <w:rFonts w:hint="eastAsia" w:ascii="宋体" w:hAnsi="宋体" w:cs="仿宋"/>
          <w:bCs/>
          <w:szCs w:val="21"/>
          <w:highlight w:val="yellow"/>
        </w:rPr>
        <w:t>平台，须严格执行</w:t>
      </w:r>
      <w:r>
        <w:rPr>
          <w:rFonts w:hint="eastAsia" w:ascii="宋体" w:hAnsi="宋体" w:cs="仿宋"/>
          <w:bCs/>
          <w:szCs w:val="21"/>
          <w:highlight w:val="yellow"/>
          <w:lang w:val="en-US" w:eastAsia="zh-CN"/>
        </w:rPr>
        <w:t>岳阳市智慧教育</w:t>
      </w:r>
      <w:r>
        <w:rPr>
          <w:rFonts w:hint="eastAsia" w:ascii="宋体" w:hAnsi="宋体" w:cs="仿宋"/>
          <w:bCs/>
          <w:szCs w:val="21"/>
          <w:highlight w:val="yellow"/>
        </w:rPr>
        <w:t>基座平台数据标准，无条件完成数据</w:t>
      </w:r>
      <w:r>
        <w:rPr>
          <w:rFonts w:hint="eastAsia" w:ascii="宋体" w:hAnsi="宋体" w:cs="宋体"/>
          <w:szCs w:val="21"/>
          <w:highlight w:val="yellow"/>
        </w:rPr>
        <w:t>回传</w:t>
      </w:r>
      <w:r>
        <w:rPr>
          <w:rFonts w:hint="eastAsia" w:ascii="宋体" w:hAnsi="宋体" w:cs="仿宋"/>
          <w:bCs/>
          <w:szCs w:val="21"/>
          <w:highlight w:val="yellow"/>
        </w:rPr>
        <w:t>与同步</w:t>
      </w:r>
      <w:r>
        <w:rPr>
          <w:rFonts w:hint="eastAsia" w:ascii="宋体" w:hAnsi="宋体" w:cs="仿宋"/>
          <w:bCs/>
          <w:szCs w:val="21"/>
          <w:highlight w:val="yellow"/>
          <w:lang w:val="en-US" w:eastAsia="zh-CN"/>
        </w:rPr>
        <w:t>及用户统一接入管理</w:t>
      </w:r>
      <w:r>
        <w:rPr>
          <w:rFonts w:hint="eastAsia" w:ascii="宋体" w:hAnsi="宋体" w:cs="仿宋"/>
          <w:bCs/>
          <w:szCs w:val="21"/>
          <w:highlight w:val="yellow"/>
        </w:rPr>
        <w:t>。</w:t>
      </w:r>
    </w:p>
    <w:p w14:paraId="25C5EE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cs="仿宋"/>
          <w:bCs/>
          <w:szCs w:val="21"/>
        </w:rPr>
      </w:pPr>
      <w:r>
        <w:rPr>
          <w:rFonts w:hint="eastAsia" w:ascii="宋体" w:hAnsi="宋体" w:cs="仿宋"/>
          <w:bCs/>
          <w:szCs w:val="21"/>
        </w:rPr>
        <w:t>（3）期满移交：合作期满或重新招商未入围时，鉴于研学服务涉及全市中小学生校外实践安全与教学安排，投标人须将研学平台、课程资源、二次开发软件及其知识产权（含源代码、数据库、设计文档、运营数据格式说明等）完好、无偿、无负债、无第三方追索地整体</w:t>
      </w:r>
      <w:r>
        <w:rPr>
          <w:rFonts w:hint="eastAsia" w:ascii="宋体" w:hAnsi="宋体" w:cs="仿宋"/>
          <w:bCs/>
          <w:szCs w:val="21"/>
          <w:highlight w:val="yellow"/>
        </w:rPr>
        <w:t>移交</w:t>
      </w:r>
      <w:r>
        <w:rPr>
          <w:rFonts w:hint="eastAsia" w:ascii="宋体" w:hAnsi="宋体" w:cs="仿宋"/>
          <w:bCs/>
          <w:szCs w:val="21"/>
          <w:highlight w:val="yellow"/>
          <w:lang w:val="en-US" w:eastAsia="zh-CN"/>
        </w:rPr>
        <w:t>招标人</w:t>
      </w:r>
      <w:r>
        <w:rPr>
          <w:rFonts w:hint="eastAsia" w:ascii="宋体" w:hAnsi="宋体" w:cs="仿宋"/>
          <w:bCs/>
          <w:szCs w:val="21"/>
        </w:rPr>
        <w:t>，并在移交过渡期内提供不少于 6 个月的免费技术与安全值守，确保平台稳定运行或平滑替换成新平台。</w:t>
      </w:r>
    </w:p>
    <w:p w14:paraId="44290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cs="仿宋"/>
          <w:bCs/>
          <w:szCs w:val="21"/>
        </w:rPr>
        <w:t>（4）数据归属：本项目产生的所有学生研学档案、教师指导记录、基地评价数据、行程安全数据、科研成果</w:t>
      </w:r>
      <w:r>
        <w:rPr>
          <w:rFonts w:hint="eastAsia" w:ascii="宋体" w:hAnsi="宋体" w:cs="宋体"/>
          <w:szCs w:val="21"/>
        </w:rPr>
        <w:t>及其</w:t>
      </w:r>
      <w:r>
        <w:rPr>
          <w:rFonts w:hint="eastAsia" w:ascii="宋体" w:hAnsi="宋体" w:cs="仿宋"/>
          <w:bCs/>
          <w:szCs w:val="21"/>
        </w:rPr>
        <w:t>他数据资产，其所有权、管理权、使用权归招标人所有，投标人不得擅自留存、复制、加工或用于商业用途；移交时须同步交付全部原始数据、备份数据及数据字典，并销毁自身留存副本。</w:t>
      </w:r>
    </w:p>
    <w:p w14:paraId="75372BC9">
      <w:pPr>
        <w:pStyle w:val="7"/>
        <w:spacing w:line="360" w:lineRule="exact"/>
        <w:ind w:firstLine="420" w:firstLineChars="200"/>
        <w:rPr>
          <w:rFonts w:hAnsi="宋体" w:cs="宋体"/>
          <w:kern w:val="2"/>
          <w:sz w:val="21"/>
          <w:szCs w:val="24"/>
        </w:rPr>
      </w:pPr>
      <w:r>
        <w:rPr>
          <w:rFonts w:hint="eastAsia" w:hAnsi="宋体" w:cs="宋体"/>
          <w:kern w:val="2"/>
          <w:sz w:val="21"/>
          <w:szCs w:val="24"/>
        </w:rPr>
        <w:t>8.2商务技术评审因素为客观评分项的，应在评分项目或评分标准中予以标注为“客观分”。对供应商的客观评分项目，各评审专家评分应当一致。</w:t>
      </w:r>
    </w:p>
    <w:p w14:paraId="40C4978E">
      <w:pPr>
        <w:spacing w:line="360" w:lineRule="auto"/>
        <w:ind w:firstLine="420" w:firstLineChars="200"/>
        <w:rPr>
          <w:rFonts w:ascii="宋体" w:hAnsi="宋体" w:cs="宋体"/>
        </w:rPr>
      </w:pPr>
      <w:r>
        <w:rPr>
          <w:rFonts w:hint="eastAsia" w:ascii="宋体" w:hAnsi="宋体" w:cs="宋体"/>
        </w:rPr>
        <w:t>8.3.终止竞争性磋商采购活动</w:t>
      </w:r>
    </w:p>
    <w:p w14:paraId="44DA3F48">
      <w:pPr>
        <w:spacing w:line="360" w:lineRule="auto"/>
        <w:ind w:firstLine="420" w:firstLineChars="200"/>
        <w:rPr>
          <w:rFonts w:ascii="宋体" w:hAnsi="宋体" w:cs="宋体"/>
        </w:rPr>
      </w:pPr>
      <w:r>
        <w:rPr>
          <w:rFonts w:hint="eastAsia" w:ascii="宋体" w:hAnsi="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6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4B53B"/>
    <w:multiLevelType w:val="singleLevel"/>
    <w:tmpl w:val="13B4B53B"/>
    <w:lvl w:ilvl="0" w:tentative="0">
      <w:start w:val="3"/>
      <w:numFmt w:val="decimal"/>
      <w:lvlText w:val="%1."/>
      <w:lvlJc w:val="left"/>
      <w:pPr>
        <w:tabs>
          <w:tab w:val="left" w:pos="312"/>
        </w:tabs>
      </w:pPr>
    </w:lvl>
  </w:abstractNum>
  <w:abstractNum w:abstractNumId="1">
    <w:nsid w:val="5A5D9973"/>
    <w:multiLevelType w:val="multilevel"/>
    <w:tmpl w:val="5A5D9973"/>
    <w:lvl w:ilvl="0" w:tentative="0">
      <w:start w:val="1"/>
      <w:numFmt w:val="chineseCounting"/>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53B43"/>
    <w:rsid w:val="18943293"/>
    <w:rsid w:val="1909609C"/>
    <w:rsid w:val="271637CF"/>
    <w:rsid w:val="289F6A96"/>
    <w:rsid w:val="42284405"/>
    <w:rsid w:val="55652EB2"/>
    <w:rsid w:val="5A566055"/>
    <w:rsid w:val="5BEC78A3"/>
    <w:rsid w:val="615526F9"/>
    <w:rsid w:val="706E70BB"/>
    <w:rsid w:val="70B4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pPr>
    <w:rPr>
      <w:szCs w:val="20"/>
    </w:rPr>
  </w:style>
  <w:style w:type="paragraph" w:styleId="6">
    <w:name w:val="annotation text"/>
    <w:basedOn w:val="1"/>
    <w:qFormat/>
    <w:uiPriority w:val="0"/>
    <w:pPr>
      <w:jc w:val="left"/>
    </w:pPr>
  </w:style>
  <w:style w:type="paragraph" w:styleId="7">
    <w:name w:val="Plain Text"/>
    <w:basedOn w:val="1"/>
    <w:next w:val="1"/>
    <w:qFormat/>
    <w:uiPriority w:val="0"/>
    <w:rPr>
      <w:rFonts w:ascii="宋体" w:hAnsi="Courier New"/>
      <w:kern w:val="0"/>
      <w:sz w:val="2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customStyle="1" w:styleId="11">
    <w:name w:val="正文 首行缩进:  2 字符"/>
    <w:basedOn w:val="1"/>
    <w:qFormat/>
    <w:uiPriority w:val="99"/>
    <w:pPr>
      <w:ind w:firstLine="200" w:firstLineChars="200"/>
    </w:pPr>
    <w:rPr>
      <w:sz w:val="24"/>
    </w:rPr>
  </w:style>
  <w:style w:type="character" w:customStyle="1" w:styleId="12">
    <w:name w:val="font81"/>
    <w:basedOn w:val="10"/>
    <w:qFormat/>
    <w:uiPriority w:val="0"/>
    <w:rPr>
      <w:rFonts w:ascii="Segoe UI" w:hAnsi="Segoe UI" w:eastAsia="Segoe UI" w:cs="Segoe UI"/>
      <w:color w:val="000000"/>
      <w:sz w:val="20"/>
      <w:szCs w:val="20"/>
      <w:u w:val="none"/>
    </w:rPr>
  </w:style>
  <w:style w:type="character" w:customStyle="1" w:styleId="13">
    <w:name w:val="font51"/>
    <w:basedOn w:val="10"/>
    <w:qFormat/>
    <w:uiPriority w:val="0"/>
    <w:rPr>
      <w:rFonts w:hint="eastAsia" w:ascii="仿宋" w:hAnsi="仿宋" w:eastAsia="仿宋" w:cs="仿宋"/>
      <w:color w:val="333333"/>
      <w:sz w:val="21"/>
      <w:szCs w:val="21"/>
      <w:u w:val="none"/>
    </w:rPr>
  </w:style>
  <w:style w:type="character" w:customStyle="1" w:styleId="14">
    <w:name w:val="font91"/>
    <w:basedOn w:val="10"/>
    <w:qFormat/>
    <w:uiPriority w:val="0"/>
    <w:rPr>
      <w:rFonts w:hint="default" w:ascii="Segoe UI" w:hAnsi="Segoe UI" w:eastAsia="Segoe UI" w:cs="Segoe UI"/>
      <w:color w:val="000000"/>
      <w:sz w:val="20"/>
      <w:szCs w:val="20"/>
      <w:u w:val="none"/>
    </w:rPr>
  </w:style>
  <w:style w:type="character" w:customStyle="1" w:styleId="15">
    <w:name w:val="font61"/>
    <w:basedOn w:val="10"/>
    <w:qFormat/>
    <w:uiPriority w:val="0"/>
    <w:rPr>
      <w:rFonts w:hint="eastAsia" w:ascii="宋体" w:hAnsi="宋体" w:eastAsia="宋体" w:cs="宋体"/>
      <w:color w:val="000000"/>
      <w:sz w:val="20"/>
      <w:szCs w:val="20"/>
      <w:u w:val="none"/>
    </w:rPr>
  </w:style>
  <w:style w:type="character" w:customStyle="1" w:styleId="16">
    <w:name w:val="font71"/>
    <w:basedOn w:val="10"/>
    <w:qFormat/>
    <w:uiPriority w:val="0"/>
    <w:rPr>
      <w:rFonts w:hint="default" w:ascii="Segoe UI" w:hAnsi="Segoe UI" w:eastAsia="Segoe UI" w:cs="Segoe UI"/>
      <w:color w:val="000000"/>
      <w:sz w:val="20"/>
      <w:szCs w:val="20"/>
      <w:u w:val="none"/>
    </w:rPr>
  </w:style>
  <w:style w:type="paragraph" w:customStyle="1" w:styleId="17">
    <w:name w:val="Table Text"/>
    <w:basedOn w:val="1"/>
    <w:semiHidden/>
    <w:qFormat/>
    <w:uiPriority w:val="0"/>
    <w:rPr>
      <w:rFonts w:ascii="宋体" w:hAnsi="宋体" w:eastAsia="宋体" w:cs="宋体"/>
      <w:sz w:val="15"/>
      <w:szCs w:val="15"/>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10548</Words>
  <Characters>10691</Characters>
  <Lines>0</Lines>
  <Paragraphs>0</Paragraphs>
  <TotalTime>13</TotalTime>
  <ScaleCrop>false</ScaleCrop>
  <LinksUpToDate>false</LinksUpToDate>
  <CharactersWithSpaces>10727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2025-06-16T03:34:00Z</dcterms:created>
  <dc:creator>Administrator</dc:creator>
  <cp:lastModifiedBy>李时雨</cp:lastModifiedBy>
  <cp:lastPrinted>2025-09-29T02:30:00Z</cp:lastPrinted>
  <dcterms:modified xsi:type="dcterms:W3CDTF">2025-10-23T02:56:47Z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eyJoZGlkIjoiNmJjNzMyYzAyZTNlMWQxNWNkN2I1N2IzMjM1MmE5NjUiLCJ1c2VySWQiOiI2MTA4MjI4NjcifQ==</vt:lpwstr>
  </property>
  <property fmtid="{D5CDD505-2E9C-101B-9397-08002B2CF9AE}" pid="4" name="ICV">
    <vt:lpwstr>B2A39D82C7614528BF90F53B00599F9C_13</vt:lpwstr>
  </property>
</Properties>
</file>